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4C" w:rsidRPr="00F35D4C" w:rsidRDefault="00F35D4C" w:rsidP="003C69A4">
      <w:pPr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D4C">
        <w:rPr>
          <w:rFonts w:ascii="Times New Roman" w:hAnsi="Times New Roman" w:cs="Times New Roman"/>
          <w:b/>
          <w:sz w:val="24"/>
          <w:szCs w:val="24"/>
          <w:u w:val="single"/>
        </w:rPr>
        <w:t>INVENTION DISCLOSURE FORM</w:t>
      </w:r>
    </w:p>
    <w:p w:rsidR="00872E41" w:rsidRPr="00F35D4C" w:rsidRDefault="00DC468D" w:rsidP="009F113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4C">
        <w:rPr>
          <w:rFonts w:ascii="Times New Roman" w:hAnsi="Times New Roman" w:cs="Times New Roman"/>
          <w:sz w:val="24"/>
          <w:szCs w:val="24"/>
        </w:rPr>
        <w:t>Thymoquinone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(TQ) is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one of the most </w:t>
      </w:r>
      <w:r w:rsidRPr="00F35D4C">
        <w:rPr>
          <w:rFonts w:ascii="Times New Roman" w:hAnsi="Times New Roman" w:cs="Times New Roman"/>
          <w:sz w:val="24"/>
          <w:szCs w:val="24"/>
        </w:rPr>
        <w:t xml:space="preserve">active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constituents </w:t>
      </w:r>
      <w:r w:rsidRPr="00F35D4C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F35D4C">
        <w:rPr>
          <w:rFonts w:ascii="Times New Roman" w:hAnsi="Times New Roman" w:cs="Times New Roman"/>
          <w:i/>
          <w:sz w:val="24"/>
          <w:szCs w:val="24"/>
        </w:rPr>
        <w:t>Nigella</w:t>
      </w:r>
      <w:proofErr w:type="spellEnd"/>
      <w:r w:rsidRPr="00F35D4C">
        <w:rPr>
          <w:rFonts w:ascii="Times New Roman" w:hAnsi="Times New Roman" w:cs="Times New Roman"/>
          <w:i/>
          <w:sz w:val="24"/>
          <w:szCs w:val="24"/>
        </w:rPr>
        <w:t xml:space="preserve"> sativa</w:t>
      </w:r>
      <w:r w:rsidRPr="00F35D4C">
        <w:rPr>
          <w:rFonts w:ascii="Times New Roman" w:hAnsi="Times New Roman" w:cs="Times New Roman"/>
          <w:sz w:val="24"/>
          <w:szCs w:val="24"/>
        </w:rPr>
        <w:t xml:space="preserve"> (</w:t>
      </w:r>
      <w:r w:rsidRPr="00F35D4C">
        <w:rPr>
          <w:rFonts w:ascii="Times New Roman" w:hAnsi="Times New Roman" w:cs="Times New Roman"/>
          <w:i/>
          <w:sz w:val="24"/>
          <w:szCs w:val="24"/>
        </w:rPr>
        <w:t>N. sativa</w:t>
      </w:r>
      <w:r w:rsidRPr="00F35D4C">
        <w:rPr>
          <w:rFonts w:ascii="Times New Roman" w:hAnsi="Times New Roman" w:cs="Times New Roman"/>
          <w:sz w:val="24"/>
          <w:szCs w:val="24"/>
        </w:rPr>
        <w:t>)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, </w:t>
      </w:r>
      <w:r w:rsidRPr="00F35D4C">
        <w:rPr>
          <w:rFonts w:ascii="Times New Roman" w:hAnsi="Times New Roman" w:cs="Times New Roman"/>
          <w:sz w:val="24"/>
          <w:szCs w:val="24"/>
        </w:rPr>
        <w:t xml:space="preserve">widely being used as a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hepato</w:t>
      </w:r>
      <w:proofErr w:type="spellEnd"/>
      <w:r w:rsidR="00F35D4C">
        <w:rPr>
          <w:rFonts w:ascii="Times New Roman" w:hAnsi="Times New Roman" w:cs="Times New Roman"/>
          <w:sz w:val="24"/>
          <w:szCs w:val="24"/>
        </w:rPr>
        <w:t>-</w:t>
      </w:r>
      <w:r w:rsidRPr="00F35D4C">
        <w:rPr>
          <w:rFonts w:ascii="Times New Roman" w:hAnsi="Times New Roman" w:cs="Times New Roman"/>
          <w:sz w:val="24"/>
          <w:szCs w:val="24"/>
        </w:rPr>
        <w:t xml:space="preserve">protective agent. However, toxicity </w:t>
      </w:r>
      <w:r w:rsidR="00F35D4C">
        <w:rPr>
          <w:rFonts w:ascii="Times New Roman" w:hAnsi="Times New Roman" w:cs="Times New Roman"/>
          <w:sz w:val="24"/>
          <w:szCs w:val="24"/>
        </w:rPr>
        <w:t xml:space="preserve">and </w:t>
      </w:r>
      <w:r w:rsidR="00F35D4C" w:rsidRPr="00F35D4C">
        <w:rPr>
          <w:rFonts w:ascii="Times New Roman" w:hAnsi="Times New Roman" w:cs="Times New Roman"/>
          <w:sz w:val="24"/>
          <w:szCs w:val="24"/>
        </w:rPr>
        <w:t xml:space="preserve">poor water solubility </w:t>
      </w:r>
      <w:r w:rsidRPr="00F35D4C">
        <w:rPr>
          <w:rFonts w:ascii="Times New Roman" w:hAnsi="Times New Roman" w:cs="Times New Roman"/>
          <w:sz w:val="24"/>
          <w:szCs w:val="24"/>
        </w:rPr>
        <w:t>at high</w:t>
      </w:r>
      <w:r w:rsidR="000B3423" w:rsidRPr="00F35D4C">
        <w:rPr>
          <w:rFonts w:ascii="Times New Roman" w:hAnsi="Times New Roman" w:cs="Times New Roman"/>
          <w:sz w:val="24"/>
          <w:szCs w:val="24"/>
        </w:rPr>
        <w:t>er</w:t>
      </w:r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0B3423" w:rsidRPr="00F35D4C">
        <w:rPr>
          <w:rFonts w:ascii="Times New Roman" w:hAnsi="Times New Roman" w:cs="Times New Roman"/>
          <w:sz w:val="24"/>
          <w:szCs w:val="24"/>
        </w:rPr>
        <w:t>dosage</w:t>
      </w:r>
      <w:r w:rsidR="003C69A4">
        <w:rPr>
          <w:rFonts w:ascii="Times New Roman" w:hAnsi="Times New Roman" w:cs="Times New Roman"/>
          <w:sz w:val="24"/>
          <w:szCs w:val="24"/>
        </w:rPr>
        <w:t>s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Pr="00F35D4C">
        <w:rPr>
          <w:rFonts w:ascii="Times New Roman" w:hAnsi="Times New Roman" w:cs="Times New Roman"/>
          <w:sz w:val="24"/>
          <w:szCs w:val="24"/>
        </w:rPr>
        <w:t>limit</w:t>
      </w:r>
      <w:r w:rsidR="003C69A4">
        <w:rPr>
          <w:rFonts w:ascii="Times New Roman" w:hAnsi="Times New Roman" w:cs="Times New Roman"/>
          <w:sz w:val="24"/>
          <w:szCs w:val="24"/>
        </w:rPr>
        <w:t xml:space="preserve"> its use</w:t>
      </w:r>
      <w:r w:rsidRPr="00F35D4C">
        <w:rPr>
          <w:rFonts w:ascii="Times New Roman" w:hAnsi="Times New Roman" w:cs="Times New Roman"/>
          <w:sz w:val="24"/>
          <w:szCs w:val="24"/>
        </w:rPr>
        <w:t xml:space="preserve"> as a therapeutic agent. The idea behind the present study </w:t>
      </w:r>
      <w:r w:rsidR="007215E7">
        <w:rPr>
          <w:rFonts w:ascii="Times New Roman" w:hAnsi="Times New Roman" w:cs="Times New Roman"/>
          <w:sz w:val="24"/>
          <w:szCs w:val="24"/>
        </w:rPr>
        <w:t xml:space="preserve">is </w:t>
      </w:r>
      <w:r w:rsidRPr="00F35D4C">
        <w:rPr>
          <w:rFonts w:ascii="Times New Roman" w:hAnsi="Times New Roman" w:cs="Times New Roman"/>
          <w:sz w:val="24"/>
          <w:szCs w:val="24"/>
        </w:rPr>
        <w:t xml:space="preserve">to design a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nanocarrier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that exploits the benefit of the antioxidant property of TQ without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causing </w:t>
      </w:r>
      <w:r w:rsidRPr="00F35D4C">
        <w:rPr>
          <w:rFonts w:ascii="Times New Roman" w:hAnsi="Times New Roman" w:cs="Times New Roman"/>
          <w:sz w:val="24"/>
          <w:szCs w:val="24"/>
        </w:rPr>
        <w:t>any toxicity. For this</w:t>
      </w:r>
      <w:r w:rsidR="007215E7">
        <w:rPr>
          <w:rFonts w:ascii="Times New Roman" w:hAnsi="Times New Roman" w:cs="Times New Roman"/>
          <w:sz w:val="24"/>
          <w:szCs w:val="24"/>
        </w:rPr>
        <w:t xml:space="preserve"> purpose, PAG (p-aminophenyl-1-</w:t>
      </w:r>
      <w:r w:rsidRPr="00F35D4C">
        <w:rPr>
          <w:rFonts w:ascii="Times New Roman" w:hAnsi="Times New Roman" w:cs="Times New Roman"/>
          <w:sz w:val="24"/>
          <w:szCs w:val="24"/>
        </w:rPr>
        <w:t>thio-b-D-galactopyranoside) coated NIPAAM</w:t>
      </w:r>
      <w:r w:rsidR="00FF4A98">
        <w:rPr>
          <w:rFonts w:ascii="Times New Roman" w:hAnsi="Times New Roman" w:cs="Times New Roman"/>
          <w:sz w:val="24"/>
          <w:szCs w:val="24"/>
        </w:rPr>
        <w:t xml:space="preserve"> (N-</w:t>
      </w:r>
      <w:proofErr w:type="spellStart"/>
      <w:r w:rsidR="00FF4A98">
        <w:rPr>
          <w:rFonts w:ascii="Times New Roman" w:hAnsi="Times New Roman" w:cs="Times New Roman"/>
          <w:sz w:val="24"/>
          <w:szCs w:val="24"/>
        </w:rPr>
        <w:t>isopropyl</w:t>
      </w:r>
      <w:r w:rsidRPr="00F35D4C">
        <w:rPr>
          <w:rFonts w:ascii="Times New Roman" w:hAnsi="Times New Roman" w:cs="Times New Roman"/>
          <w:sz w:val="24"/>
          <w:szCs w:val="24"/>
        </w:rPr>
        <w:t>acrylamide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) nanoparticles </w:t>
      </w:r>
      <w:r w:rsidR="007215E7">
        <w:rPr>
          <w:rFonts w:ascii="Times New Roman" w:hAnsi="Times New Roman" w:cs="Times New Roman"/>
          <w:sz w:val="24"/>
          <w:szCs w:val="24"/>
        </w:rPr>
        <w:t>we</w:t>
      </w:r>
      <w:r w:rsidRPr="00F35D4C">
        <w:rPr>
          <w:rFonts w:ascii="Times New Roman" w:hAnsi="Times New Roman" w:cs="Times New Roman"/>
          <w:sz w:val="24"/>
          <w:szCs w:val="24"/>
        </w:rPr>
        <w:t>re synthesized followed by encapsulation of TQ (</w:t>
      </w:r>
      <w:proofErr w:type="spellStart"/>
      <w:r w:rsidR="000B3423" w:rsidRPr="00F35D4C">
        <w:rPr>
          <w:rFonts w:ascii="Times New Roman" w:hAnsi="Times New Roman" w:cs="Times New Roman"/>
          <w:sz w:val="24"/>
          <w:szCs w:val="24"/>
        </w:rPr>
        <w:t>Nanothymoquinone</w:t>
      </w:r>
      <w:proofErr w:type="spellEnd"/>
      <w:r w:rsidR="000B3423" w:rsidRPr="00F35D4C">
        <w:rPr>
          <w:rFonts w:ascii="Times New Roman" w:hAnsi="Times New Roman" w:cs="Times New Roman"/>
          <w:sz w:val="24"/>
          <w:szCs w:val="24"/>
        </w:rPr>
        <w:t xml:space="preserve">, </w:t>
      </w:r>
      <w:r w:rsidRPr="00F35D4C">
        <w:rPr>
          <w:rFonts w:ascii="Times New Roman" w:hAnsi="Times New Roman" w:cs="Times New Roman"/>
          <w:sz w:val="24"/>
          <w:szCs w:val="24"/>
        </w:rPr>
        <w:t xml:space="preserve">NTQ) in their hydrophobic core. PAG is a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ligand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that </w:t>
      </w:r>
      <w:r w:rsidRPr="00F35D4C">
        <w:rPr>
          <w:rFonts w:ascii="Times New Roman" w:hAnsi="Times New Roman" w:cs="Times New Roman"/>
          <w:sz w:val="24"/>
          <w:szCs w:val="24"/>
        </w:rPr>
        <w:t xml:space="preserve">directly interacts with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asialoglycoprotein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receptors (ASGP-R) present on the surface of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hepatocytes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and delivers the drug directly to the liver. NTQ</w:t>
      </w:r>
      <w:r w:rsidR="00F35D4C">
        <w:rPr>
          <w:rFonts w:ascii="Times New Roman" w:hAnsi="Times New Roman" w:cs="Times New Roman"/>
          <w:sz w:val="24"/>
          <w:szCs w:val="24"/>
        </w:rPr>
        <w:t>s</w:t>
      </w:r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were found to </w:t>
      </w:r>
      <w:r w:rsidRPr="00F35D4C">
        <w:rPr>
          <w:rFonts w:ascii="Times New Roman" w:hAnsi="Times New Roman" w:cs="Times New Roman"/>
          <w:sz w:val="24"/>
          <w:szCs w:val="24"/>
        </w:rPr>
        <w:t>have a size of ~</w:t>
      </w:r>
      <w:r w:rsidR="00F35D4C">
        <w:rPr>
          <w:rFonts w:ascii="Times New Roman" w:hAnsi="Times New Roman" w:cs="Times New Roman"/>
          <w:sz w:val="24"/>
          <w:szCs w:val="24"/>
        </w:rPr>
        <w:t>90 to 108</w:t>
      </w:r>
      <w:r w:rsidRPr="00F35D4C">
        <w:rPr>
          <w:rFonts w:ascii="Times New Roman" w:hAnsi="Times New Roman" w:cs="Times New Roman"/>
          <w:sz w:val="24"/>
          <w:szCs w:val="24"/>
        </w:rPr>
        <w:t xml:space="preserve"> nm and were characterized using </w:t>
      </w:r>
      <w:r w:rsidR="00F35D4C">
        <w:rPr>
          <w:rFonts w:ascii="Times New Roman" w:hAnsi="Times New Roman" w:cs="Times New Roman"/>
          <w:sz w:val="24"/>
          <w:szCs w:val="24"/>
        </w:rPr>
        <w:t>DLS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TEM. The drug was given in two modes: one as NTQ (3 groups: 0.125 </w:t>
      </w:r>
      <w:r w:rsidR="000B3423" w:rsidRPr="00F35D4C">
        <w:rPr>
          <w:rFonts w:ascii="Times New Roman" w:hAnsi="Times New Roman" w:cs="Times New Roman"/>
          <w:sz w:val="24"/>
          <w:szCs w:val="24"/>
        </w:rPr>
        <w:t>µgkg</w:t>
      </w:r>
      <w:r w:rsidR="000B3423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 body weight </w:t>
      </w:r>
      <w:r w:rsidRPr="00F35D4C">
        <w:rPr>
          <w:rFonts w:ascii="Times New Roman" w:hAnsi="Times New Roman" w:cs="Times New Roman"/>
          <w:sz w:val="24"/>
          <w:szCs w:val="24"/>
        </w:rPr>
        <w:t>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F35D4C">
        <w:rPr>
          <w:rFonts w:ascii="Times New Roman" w:hAnsi="Times New Roman" w:cs="Times New Roman"/>
          <w:sz w:val="24"/>
          <w:szCs w:val="24"/>
        </w:rPr>
        <w:t xml:space="preserve">), 1.25 </w:t>
      </w:r>
      <w:r w:rsidR="000B3423" w:rsidRPr="00F35D4C">
        <w:rPr>
          <w:rFonts w:ascii="Times New Roman" w:hAnsi="Times New Roman" w:cs="Times New Roman"/>
          <w:sz w:val="24"/>
          <w:szCs w:val="24"/>
        </w:rPr>
        <w:t>µgkg</w:t>
      </w:r>
      <w:r w:rsidR="000B3423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 body weight </w:t>
      </w:r>
      <w:r w:rsidRPr="00F35D4C">
        <w:rPr>
          <w:rFonts w:ascii="Times New Roman" w:hAnsi="Times New Roman" w:cs="Times New Roman"/>
          <w:sz w:val="24"/>
          <w:szCs w:val="24"/>
        </w:rPr>
        <w:t>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F35D4C">
        <w:rPr>
          <w:rFonts w:ascii="Times New Roman" w:hAnsi="Times New Roman" w:cs="Times New Roman"/>
          <w:sz w:val="24"/>
          <w:szCs w:val="24"/>
        </w:rPr>
        <w:t xml:space="preserve">) and 12.5 </w:t>
      </w:r>
      <w:r w:rsidR="000B3423" w:rsidRPr="00F35D4C">
        <w:rPr>
          <w:rFonts w:ascii="Times New Roman" w:hAnsi="Times New Roman" w:cs="Times New Roman"/>
          <w:sz w:val="24"/>
          <w:szCs w:val="24"/>
        </w:rPr>
        <w:t>µgkg</w:t>
      </w:r>
      <w:r w:rsidR="000B3423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 body weight </w:t>
      </w:r>
      <w:r w:rsidRPr="00F35D4C">
        <w:rPr>
          <w:rFonts w:ascii="Times New Roman" w:hAnsi="Times New Roman" w:cs="Times New Roman"/>
          <w:sz w:val="24"/>
          <w:szCs w:val="24"/>
        </w:rPr>
        <w:t>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F35D4C">
        <w:rPr>
          <w:rFonts w:ascii="Times New Roman" w:hAnsi="Times New Roman" w:cs="Times New Roman"/>
          <w:sz w:val="24"/>
          <w:szCs w:val="24"/>
        </w:rPr>
        <w:t>) µgkg</w:t>
      </w:r>
      <w:r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35D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intraperitoneal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</w:t>
      </w:r>
      <w:r w:rsidR="000B3423" w:rsidRPr="00F35D4C">
        <w:rPr>
          <w:rFonts w:ascii="Times New Roman" w:hAnsi="Times New Roman" w:cs="Times New Roman"/>
          <w:sz w:val="24"/>
          <w:szCs w:val="24"/>
        </w:rPr>
        <w:t>),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the other as TQ (12.5 mgkg</w:t>
      </w:r>
      <w:r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35D4C">
        <w:rPr>
          <w:rFonts w:ascii="Times New Roman" w:hAnsi="Times New Roman" w:cs="Times New Roman"/>
          <w:sz w:val="24"/>
          <w:szCs w:val="24"/>
        </w:rPr>
        <w:t xml:space="preserve"> body weight,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.).</w:t>
      </w:r>
    </w:p>
    <w:p w:rsidR="002D39F5" w:rsidRPr="00F35D4C" w:rsidRDefault="009F113C" w:rsidP="00F35D4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4C">
        <w:rPr>
          <w:rFonts w:ascii="Times New Roman" w:hAnsi="Times New Roman" w:cs="Times New Roman"/>
          <w:b/>
          <w:sz w:val="24"/>
          <w:szCs w:val="24"/>
        </w:rPr>
        <w:t>EXPERIMENTAL PROCEDURE</w:t>
      </w:r>
    </w:p>
    <w:p w:rsidR="00F35D4C" w:rsidRPr="00F35D4C" w:rsidRDefault="002D39F5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>In the present study, we have evaluated the preventive efficacy of TQ and NTQ against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- induced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hepat</w:t>
      </w:r>
      <w:r w:rsidR="007215E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215E7">
        <w:rPr>
          <w:rFonts w:ascii="Times New Roman" w:hAnsi="Times New Roman" w:cs="Times New Roman"/>
          <w:sz w:val="24"/>
          <w:szCs w:val="24"/>
        </w:rPr>
        <w:t>-</w:t>
      </w:r>
      <w:r w:rsidRPr="00F35D4C">
        <w:rPr>
          <w:rFonts w:ascii="Times New Roman" w:hAnsi="Times New Roman" w:cs="Times New Roman"/>
          <w:sz w:val="24"/>
          <w:szCs w:val="24"/>
        </w:rPr>
        <w:t>toxicity</w:t>
      </w:r>
      <w:r w:rsidR="00F35D4C">
        <w:rPr>
          <w:rFonts w:ascii="Times New Roman" w:hAnsi="Times New Roman" w:cs="Times New Roman"/>
          <w:sz w:val="24"/>
          <w:szCs w:val="24"/>
        </w:rPr>
        <w:t xml:space="preserve"> (free radical generation)</w:t>
      </w:r>
      <w:r w:rsidR="00F35D4C" w:rsidRPr="00F35D4C">
        <w:rPr>
          <w:rFonts w:ascii="Times New Roman" w:hAnsi="Times New Roman" w:cs="Times New Roman"/>
          <w:sz w:val="24"/>
          <w:szCs w:val="24"/>
        </w:rPr>
        <w:t>. CCl</w:t>
      </w:r>
      <w:r w:rsidR="00F35D4C"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F35D4C" w:rsidRPr="00F35D4C">
        <w:rPr>
          <w:rFonts w:ascii="Times New Roman" w:hAnsi="Times New Roman" w:cs="Times New Roman"/>
          <w:sz w:val="24"/>
          <w:szCs w:val="24"/>
        </w:rPr>
        <w:t xml:space="preserve"> administration is a well</w:t>
      </w:r>
      <w:r w:rsidR="003C69A4">
        <w:rPr>
          <w:rFonts w:ascii="Times New Roman" w:hAnsi="Times New Roman" w:cs="Times New Roman"/>
          <w:sz w:val="24"/>
          <w:szCs w:val="24"/>
        </w:rPr>
        <w:t>-</w:t>
      </w:r>
      <w:r w:rsidR="00F35D4C" w:rsidRPr="00F35D4C">
        <w:rPr>
          <w:rFonts w:ascii="Times New Roman" w:hAnsi="Times New Roman" w:cs="Times New Roman"/>
          <w:sz w:val="24"/>
          <w:szCs w:val="24"/>
        </w:rPr>
        <w:t>known model for the production of chemical hepatic injury</w:t>
      </w:r>
      <w:r w:rsidR="00F35D4C">
        <w:rPr>
          <w:rFonts w:ascii="Times New Roman" w:hAnsi="Times New Roman" w:cs="Times New Roman"/>
          <w:sz w:val="24"/>
          <w:szCs w:val="24"/>
        </w:rPr>
        <w:t>, c</w:t>
      </w:r>
      <w:r w:rsidR="003C69A4">
        <w:rPr>
          <w:rFonts w:ascii="Times New Roman" w:hAnsi="Times New Roman" w:cs="Times New Roman"/>
          <w:sz w:val="24"/>
          <w:szCs w:val="24"/>
        </w:rPr>
        <w:t xml:space="preserve">ausing an increase in lipid </w:t>
      </w:r>
      <w:proofErr w:type="spellStart"/>
      <w:r w:rsidR="003C69A4">
        <w:rPr>
          <w:rFonts w:ascii="Times New Roman" w:hAnsi="Times New Roman" w:cs="Times New Roman"/>
          <w:sz w:val="24"/>
          <w:szCs w:val="24"/>
        </w:rPr>
        <w:t>per</w:t>
      </w:r>
      <w:r w:rsidR="00F35D4C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="00F35D4C">
        <w:rPr>
          <w:rFonts w:ascii="Times New Roman" w:hAnsi="Times New Roman" w:cs="Times New Roman"/>
          <w:sz w:val="24"/>
          <w:szCs w:val="24"/>
        </w:rPr>
        <w:t xml:space="preserve"> and reduction in the activities of the anti-oxidant enzymes such as </w:t>
      </w:r>
      <w:r w:rsidR="00F35D4C" w:rsidRPr="00F35D4C">
        <w:rPr>
          <w:rFonts w:ascii="Times New Roman" w:hAnsi="Times New Roman" w:cs="Times New Roman"/>
          <w:sz w:val="24"/>
          <w:szCs w:val="24"/>
        </w:rPr>
        <w:t xml:space="preserve">Glutathione </w:t>
      </w:r>
      <w:proofErr w:type="spellStart"/>
      <w:r w:rsidR="00F35D4C" w:rsidRPr="00F35D4C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="00F35D4C" w:rsidRPr="00F35D4C">
        <w:rPr>
          <w:rFonts w:ascii="Times New Roman" w:hAnsi="Times New Roman" w:cs="Times New Roman"/>
          <w:sz w:val="24"/>
          <w:szCs w:val="24"/>
        </w:rPr>
        <w:t xml:space="preserve"> (GP</w:t>
      </w:r>
      <w:r w:rsidR="00F35D4C" w:rsidRPr="00F35D4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F35D4C" w:rsidRPr="00F35D4C">
        <w:rPr>
          <w:rFonts w:ascii="Times New Roman" w:hAnsi="Times New Roman" w:cs="Times New Roman"/>
          <w:sz w:val="24"/>
          <w:szCs w:val="24"/>
        </w:rPr>
        <w:t xml:space="preserve">) </w:t>
      </w:r>
      <w:r w:rsidR="00F35D4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F35D4C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="00F35D4C" w:rsidRPr="00F35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9F5" w:rsidRPr="00F35D4C" w:rsidRDefault="002D39F5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>Animals were divided into six groups</w:t>
      </w:r>
      <w:r w:rsidR="007215E7">
        <w:rPr>
          <w:rFonts w:ascii="Times New Roman" w:hAnsi="Times New Roman" w:cs="Times New Roman"/>
          <w:sz w:val="24"/>
          <w:szCs w:val="24"/>
        </w:rPr>
        <w:t>,</w:t>
      </w:r>
      <w:r w:rsidRPr="00F35D4C">
        <w:rPr>
          <w:rFonts w:ascii="Times New Roman" w:hAnsi="Times New Roman" w:cs="Times New Roman"/>
          <w:sz w:val="24"/>
          <w:szCs w:val="24"/>
        </w:rPr>
        <w:t xml:space="preserve"> each having 6 animals and they </w:t>
      </w:r>
      <w:r w:rsidR="007215E7">
        <w:rPr>
          <w:rFonts w:ascii="Times New Roman" w:hAnsi="Times New Roman" w:cs="Times New Roman"/>
          <w:sz w:val="24"/>
          <w:szCs w:val="24"/>
        </w:rPr>
        <w:t xml:space="preserve">have </w:t>
      </w:r>
      <w:r w:rsidRPr="00F35D4C">
        <w:rPr>
          <w:rFonts w:ascii="Times New Roman" w:hAnsi="Times New Roman" w:cs="Times New Roman"/>
          <w:sz w:val="24"/>
          <w:szCs w:val="24"/>
        </w:rPr>
        <w:t xml:space="preserve">received the treatment as follows: Group I (N): </w:t>
      </w:r>
      <w:r w:rsidR="007215E7">
        <w:rPr>
          <w:rFonts w:ascii="Times New Roman" w:hAnsi="Times New Roman" w:cs="Times New Roman"/>
          <w:sz w:val="24"/>
          <w:szCs w:val="24"/>
        </w:rPr>
        <w:t>N</w:t>
      </w:r>
      <w:r w:rsidRPr="00F35D4C">
        <w:rPr>
          <w:rFonts w:ascii="Times New Roman" w:hAnsi="Times New Roman" w:cs="Times New Roman"/>
          <w:sz w:val="24"/>
          <w:szCs w:val="24"/>
        </w:rPr>
        <w:t xml:space="preserve">ormal (saline for 7 days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.), Group II (D):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 treated (CCl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 on 3</w:t>
      </w:r>
      <w:r w:rsidRPr="00F35D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4</w:t>
      </w:r>
      <w:r w:rsidRPr="00F35D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5D4C">
        <w:rPr>
          <w:rFonts w:ascii="Times New Roman" w:hAnsi="Times New Roman" w:cs="Times New Roman"/>
          <w:sz w:val="24"/>
          <w:szCs w:val="24"/>
        </w:rPr>
        <w:t xml:space="preserve"> day, 1.2 ml/kg , subcutaneous (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.)) + diet/water, Group III 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F35D4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nanothymoquinone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low dose (0.125 </w:t>
      </w:r>
      <w:r w:rsidR="004169DD" w:rsidRPr="00F35D4C">
        <w:rPr>
          <w:rFonts w:ascii="Times New Roman" w:hAnsi="Times New Roman" w:cs="Times New Roman"/>
          <w:sz w:val="24"/>
          <w:szCs w:val="24"/>
        </w:rPr>
        <w:t>µg</w:t>
      </w:r>
      <w:r w:rsidRPr="00F35D4C">
        <w:rPr>
          <w:rFonts w:ascii="Times New Roman" w:hAnsi="Times New Roman" w:cs="Times New Roman"/>
          <w:sz w:val="24"/>
          <w:szCs w:val="24"/>
        </w:rPr>
        <w:t>kg</w:t>
      </w:r>
      <w:r w:rsidR="004169DD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35D4C">
        <w:rPr>
          <w:rFonts w:ascii="Times New Roman" w:hAnsi="Times New Roman" w:cs="Times New Roman"/>
          <w:sz w:val="24"/>
          <w:szCs w:val="24"/>
        </w:rPr>
        <w:t xml:space="preserve"> body weight,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 +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 + diet/water, Group IV 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F35D4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nanothymoquinone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medium dose (1.25 </w:t>
      </w:r>
      <w:r w:rsidR="004169DD" w:rsidRPr="00F35D4C">
        <w:rPr>
          <w:rFonts w:ascii="Times New Roman" w:hAnsi="Times New Roman" w:cs="Times New Roman"/>
          <w:sz w:val="24"/>
          <w:szCs w:val="24"/>
        </w:rPr>
        <w:t>µ</w:t>
      </w:r>
      <w:r w:rsidRPr="00F35D4C">
        <w:rPr>
          <w:rFonts w:ascii="Times New Roman" w:hAnsi="Times New Roman" w:cs="Times New Roman"/>
          <w:sz w:val="24"/>
          <w:szCs w:val="24"/>
        </w:rPr>
        <w:t>g kg</w:t>
      </w:r>
      <w:r w:rsidR="004169DD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35D4C">
        <w:rPr>
          <w:rFonts w:ascii="Times New Roman" w:hAnsi="Times New Roman" w:cs="Times New Roman"/>
          <w:sz w:val="24"/>
          <w:szCs w:val="24"/>
        </w:rPr>
        <w:t xml:space="preserve"> body weight,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 +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 + diet/water, Group V 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F35D4C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nanothymoquinone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high dose (12.5 </w:t>
      </w:r>
      <w:r w:rsidR="004169DD" w:rsidRPr="00F35D4C">
        <w:rPr>
          <w:rFonts w:ascii="Times New Roman" w:hAnsi="Times New Roman" w:cs="Times New Roman"/>
          <w:sz w:val="24"/>
          <w:szCs w:val="24"/>
        </w:rPr>
        <w:t>µ</w:t>
      </w:r>
      <w:r w:rsidRPr="00F35D4C">
        <w:rPr>
          <w:rFonts w:ascii="Times New Roman" w:hAnsi="Times New Roman" w:cs="Times New Roman"/>
          <w:sz w:val="24"/>
          <w:szCs w:val="24"/>
        </w:rPr>
        <w:t>g kg</w:t>
      </w:r>
      <w:r w:rsidR="004169DD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35D4C">
        <w:rPr>
          <w:rFonts w:ascii="Times New Roman" w:hAnsi="Times New Roman" w:cs="Times New Roman"/>
          <w:sz w:val="24"/>
          <w:szCs w:val="24"/>
        </w:rPr>
        <w:t xml:space="preserve"> body weight,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 +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 + diet/water, Group VI (TQ):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thymoquinone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</w:t>
      </w:r>
      <w:r w:rsidR="004169DD" w:rsidRPr="00F35D4C">
        <w:rPr>
          <w:rFonts w:ascii="Times New Roman" w:hAnsi="Times New Roman" w:cs="Times New Roman"/>
          <w:sz w:val="24"/>
          <w:szCs w:val="24"/>
        </w:rPr>
        <w:t xml:space="preserve">12.5 </w:t>
      </w:r>
      <w:r w:rsidRPr="00F35D4C">
        <w:rPr>
          <w:rFonts w:ascii="Times New Roman" w:hAnsi="Times New Roman" w:cs="Times New Roman"/>
          <w:sz w:val="24"/>
          <w:szCs w:val="24"/>
        </w:rPr>
        <w:t>mg kg</w:t>
      </w:r>
      <w:r w:rsidR="004169DD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35D4C">
        <w:rPr>
          <w:rFonts w:ascii="Times New Roman" w:hAnsi="Times New Roman" w:cs="Times New Roman"/>
          <w:sz w:val="24"/>
          <w:szCs w:val="24"/>
        </w:rPr>
        <w:t xml:space="preserve"> body weight,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i.p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.) + CCl</w:t>
      </w:r>
      <w:r w:rsidRPr="007215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35D4C">
        <w:rPr>
          <w:rFonts w:ascii="Times New Roman" w:hAnsi="Times New Roman" w:cs="Times New Roman"/>
          <w:sz w:val="24"/>
          <w:szCs w:val="24"/>
        </w:rPr>
        <w:t xml:space="preserve"> + diet/water. TQ and NTQ (NTQ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F35D4C">
        <w:rPr>
          <w:rFonts w:ascii="Times New Roman" w:hAnsi="Times New Roman" w:cs="Times New Roman"/>
          <w:sz w:val="24"/>
          <w:szCs w:val="24"/>
        </w:rPr>
        <w:t>, 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F35D4C">
        <w:rPr>
          <w:rFonts w:ascii="Times New Roman" w:hAnsi="Times New Roman" w:cs="Times New Roman"/>
          <w:sz w:val="24"/>
          <w:szCs w:val="24"/>
        </w:rPr>
        <w:t>, and NTQ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F35D4C">
        <w:rPr>
          <w:rFonts w:ascii="Times New Roman" w:hAnsi="Times New Roman" w:cs="Times New Roman"/>
          <w:sz w:val="24"/>
          <w:szCs w:val="24"/>
        </w:rPr>
        <w:t xml:space="preserve">) were administered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intraperitoneally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for 7 days.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Hepatotoxicity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was induced in the II, III, IV, V and VI groups by an injection of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169DD" w:rsidRPr="00F35D4C">
        <w:rPr>
          <w:rFonts w:ascii="Times New Roman" w:hAnsi="Times New Roman" w:cs="Times New Roman"/>
          <w:sz w:val="24"/>
          <w:szCs w:val="24"/>
        </w:rPr>
        <w:t xml:space="preserve"> (1.2 ml</w:t>
      </w:r>
      <w:r w:rsidRPr="00F35D4C">
        <w:rPr>
          <w:rFonts w:ascii="Times New Roman" w:hAnsi="Times New Roman" w:cs="Times New Roman"/>
          <w:sz w:val="24"/>
          <w:szCs w:val="24"/>
        </w:rPr>
        <w:t>kg</w:t>
      </w:r>
      <w:r w:rsidR="004169DD" w:rsidRPr="00F35D4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169DD" w:rsidRPr="00F35D4C">
        <w:rPr>
          <w:rFonts w:ascii="Times New Roman" w:hAnsi="Times New Roman" w:cs="Times New Roman"/>
          <w:sz w:val="24"/>
          <w:szCs w:val="24"/>
        </w:rPr>
        <w:t>, 1</w:t>
      </w:r>
      <w:r w:rsidRPr="00F35D4C">
        <w:rPr>
          <w:rFonts w:ascii="Times New Roman" w:hAnsi="Times New Roman" w:cs="Times New Roman"/>
          <w:sz w:val="24"/>
          <w:szCs w:val="24"/>
        </w:rPr>
        <w:t>: 1 with olive oil</w:t>
      </w:r>
      <w:r w:rsidR="007215E7">
        <w:rPr>
          <w:rFonts w:ascii="Times New Roman" w:hAnsi="Times New Roman" w:cs="Times New Roman"/>
          <w:sz w:val="24"/>
          <w:szCs w:val="24"/>
        </w:rPr>
        <w:t>,</w:t>
      </w:r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5D4C">
        <w:rPr>
          <w:rFonts w:ascii="Times New Roman" w:hAnsi="Times New Roman" w:cs="Times New Roman"/>
          <w:sz w:val="24"/>
          <w:szCs w:val="24"/>
        </w:rPr>
        <w:t>s.c</w:t>
      </w:r>
      <w:proofErr w:type="spellEnd"/>
      <w:proofErr w:type="gramEnd"/>
      <w:r w:rsidRPr="00F35D4C">
        <w:rPr>
          <w:rFonts w:ascii="Times New Roman" w:hAnsi="Times New Roman" w:cs="Times New Roman"/>
          <w:sz w:val="24"/>
          <w:szCs w:val="24"/>
        </w:rPr>
        <w:t>.) on the 3</w:t>
      </w:r>
      <w:r w:rsidRPr="00F35D4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4</w:t>
      </w:r>
      <w:r w:rsidRPr="00F35D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5D4C">
        <w:rPr>
          <w:rFonts w:ascii="Times New Roman" w:hAnsi="Times New Roman" w:cs="Times New Roman"/>
          <w:sz w:val="24"/>
          <w:szCs w:val="24"/>
        </w:rPr>
        <w:t xml:space="preserve"> days.</w:t>
      </w:r>
    </w:p>
    <w:p w:rsidR="00DC468D" w:rsidRPr="00F35D4C" w:rsidRDefault="00DC468D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b/>
          <w:sz w:val="24"/>
          <w:szCs w:val="24"/>
        </w:rPr>
        <w:lastRenderedPageBreak/>
        <w:t>Preparation of NIPAAM polymeric nanoparticles (</w:t>
      </w:r>
      <w:proofErr w:type="spellStart"/>
      <w:r w:rsidRPr="00F35D4C">
        <w:rPr>
          <w:rFonts w:ascii="Times New Roman" w:hAnsi="Times New Roman" w:cs="Times New Roman"/>
          <w:b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b/>
          <w:sz w:val="24"/>
          <w:szCs w:val="24"/>
        </w:rPr>
        <w:t>):</w:t>
      </w:r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68D" w:rsidRPr="00F35D4C" w:rsidRDefault="00DC468D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 xml:space="preserve">NIPAAM and Acrylic acid (AA) co-polymer </w:t>
      </w:r>
      <w:r w:rsidR="003C69A4">
        <w:rPr>
          <w:rFonts w:ascii="Times New Roman" w:hAnsi="Times New Roman" w:cs="Times New Roman"/>
          <w:sz w:val="24"/>
          <w:szCs w:val="24"/>
        </w:rPr>
        <w:t>wer</w:t>
      </w:r>
      <w:r w:rsidR="007215E7">
        <w:rPr>
          <w:rFonts w:ascii="Times New Roman" w:hAnsi="Times New Roman" w:cs="Times New Roman"/>
          <w:sz w:val="24"/>
          <w:szCs w:val="24"/>
        </w:rPr>
        <w:t>e</w:t>
      </w:r>
      <w:r w:rsidRPr="00F35D4C">
        <w:rPr>
          <w:rFonts w:ascii="Times New Roman" w:hAnsi="Times New Roman" w:cs="Times New Roman"/>
          <w:sz w:val="24"/>
          <w:szCs w:val="24"/>
        </w:rPr>
        <w:t xml:space="preserve"> synthesized </w:t>
      </w:r>
      <w:r w:rsidR="000B3423" w:rsidRPr="007215E7">
        <w:rPr>
          <w:rFonts w:ascii="Times New Roman" w:hAnsi="Times New Roman" w:cs="Times New Roman"/>
          <w:i/>
          <w:sz w:val="24"/>
          <w:szCs w:val="24"/>
        </w:rPr>
        <w:t>via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Pr="00F35D4C">
        <w:rPr>
          <w:rFonts w:ascii="Times New Roman" w:hAnsi="Times New Roman" w:cs="Times New Roman"/>
          <w:sz w:val="24"/>
          <w:szCs w:val="24"/>
        </w:rPr>
        <w:t>free radical polymerization. Monomers of NIPAAM and AA were dissolved in water</w:t>
      </w:r>
      <w:r w:rsidR="000B3423" w:rsidRPr="00F35D4C">
        <w:rPr>
          <w:rFonts w:ascii="Times New Roman" w:hAnsi="Times New Roman" w:cs="Times New Roman"/>
          <w:sz w:val="24"/>
          <w:szCs w:val="24"/>
        </w:rPr>
        <w:t>,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the polymerization was carried out under nitrogen (N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5D4C">
        <w:rPr>
          <w:rFonts w:ascii="Times New Roman" w:hAnsi="Times New Roman" w:cs="Times New Roman"/>
          <w:sz w:val="24"/>
          <w:szCs w:val="24"/>
        </w:rPr>
        <w:t xml:space="preserve">) atmosphere. About 90 mg of NIPAAM, and 5 µl AA were dissolved in 10 ml </w:t>
      </w:r>
      <w:r w:rsidR="003C69A4">
        <w:rPr>
          <w:rFonts w:ascii="Times New Roman" w:hAnsi="Times New Roman" w:cs="Times New Roman"/>
          <w:sz w:val="24"/>
          <w:szCs w:val="24"/>
        </w:rPr>
        <w:t xml:space="preserve">of </w:t>
      </w:r>
      <w:r w:rsidRPr="00F35D4C">
        <w:rPr>
          <w:rFonts w:ascii="Times New Roman" w:hAnsi="Times New Roman" w:cs="Times New Roman"/>
          <w:sz w:val="24"/>
          <w:szCs w:val="24"/>
        </w:rPr>
        <w:t>distilled water. The dissolved oxygen was removed by passing N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5D4C">
        <w:rPr>
          <w:rFonts w:ascii="Times New Roman" w:hAnsi="Times New Roman" w:cs="Times New Roman"/>
          <w:sz w:val="24"/>
          <w:szCs w:val="24"/>
        </w:rPr>
        <w:t xml:space="preserve"> gas for about 45 min. Then, about 25 µl of ferrous ammonium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(FAS) and 35 µl ammonium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persulphate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(APS) solution were added to initiate the polymerization reaction. The polym</w:t>
      </w:r>
      <w:r w:rsidR="000B3423" w:rsidRPr="00F35D4C">
        <w:rPr>
          <w:rFonts w:ascii="Times New Roman" w:hAnsi="Times New Roman" w:cs="Times New Roman"/>
          <w:sz w:val="24"/>
          <w:szCs w:val="24"/>
        </w:rPr>
        <w:t>erization was carried out at 32</w:t>
      </w:r>
      <w:r w:rsidRPr="00F35D4C">
        <w:rPr>
          <w:rFonts w:ascii="Times New Roman" w:hAnsi="Times New Roman" w:cs="Times New Roman"/>
          <w:sz w:val="24"/>
          <w:szCs w:val="24"/>
        </w:rPr>
        <w:t>°C under N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35D4C">
        <w:rPr>
          <w:rFonts w:ascii="Times New Roman" w:hAnsi="Times New Roman" w:cs="Times New Roman"/>
          <w:sz w:val="24"/>
          <w:szCs w:val="24"/>
        </w:rPr>
        <w:t xml:space="preserve"> atmosphere for about 18 h. On completion of polymerization, the polymeric aqueous solution was dialyzed for about 48 h using a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Spectropore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membrane dialysis bag (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celluSep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, 12 KD cut off) with </w:t>
      </w:r>
      <w:r w:rsidR="003C69A4">
        <w:rPr>
          <w:rFonts w:ascii="Times New Roman" w:hAnsi="Times New Roman" w:cs="Times New Roman"/>
          <w:sz w:val="24"/>
          <w:szCs w:val="24"/>
        </w:rPr>
        <w:t xml:space="preserve">a </w:t>
      </w:r>
      <w:r w:rsidRPr="00F35D4C">
        <w:rPr>
          <w:rFonts w:ascii="Times New Roman" w:hAnsi="Times New Roman" w:cs="Times New Roman"/>
          <w:sz w:val="24"/>
          <w:szCs w:val="24"/>
        </w:rPr>
        <w:t xml:space="preserve">continuous change of distilled water every 4 h. After this, the aqueous solution was lyophilized to obtain a dry powder of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>.</w:t>
      </w:r>
    </w:p>
    <w:p w:rsidR="00DC468D" w:rsidRPr="00F35D4C" w:rsidRDefault="00DC468D" w:rsidP="00F35D4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4C">
        <w:rPr>
          <w:rFonts w:ascii="Times New Roman" w:hAnsi="Times New Roman" w:cs="Times New Roman"/>
          <w:b/>
          <w:sz w:val="24"/>
          <w:szCs w:val="24"/>
        </w:rPr>
        <w:t xml:space="preserve">Surface modification of </w:t>
      </w:r>
      <w:proofErr w:type="spellStart"/>
      <w:r w:rsidRPr="00F35D4C">
        <w:rPr>
          <w:rFonts w:ascii="Times New Roman" w:hAnsi="Times New Roman" w:cs="Times New Roman"/>
          <w:b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b/>
          <w:sz w:val="24"/>
          <w:szCs w:val="24"/>
        </w:rPr>
        <w:t xml:space="preserve"> with PAG</w:t>
      </w:r>
      <w:r w:rsidR="00257B20" w:rsidRPr="00F35D4C">
        <w:rPr>
          <w:rFonts w:ascii="Times New Roman" w:hAnsi="Times New Roman" w:cs="Times New Roman"/>
          <w:b/>
          <w:sz w:val="24"/>
          <w:szCs w:val="24"/>
        </w:rPr>
        <w:t xml:space="preserve"> to obtain PAG-</w:t>
      </w:r>
      <w:proofErr w:type="spellStart"/>
      <w:r w:rsidR="00257B20" w:rsidRPr="00F35D4C">
        <w:rPr>
          <w:rFonts w:ascii="Times New Roman" w:hAnsi="Times New Roman" w:cs="Times New Roman"/>
          <w:b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b/>
          <w:sz w:val="24"/>
          <w:szCs w:val="24"/>
        </w:rPr>
        <w:t>:</w:t>
      </w:r>
    </w:p>
    <w:p w:rsidR="00DC468D" w:rsidRPr="00F35D4C" w:rsidRDefault="00DC468D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 xml:space="preserve">The conjugation of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3C69A4" w:rsidRPr="003C69A4">
        <w:rPr>
          <w:rFonts w:ascii="Times New Roman" w:hAnsi="Times New Roman" w:cs="Times New Roman"/>
          <w:sz w:val="24"/>
          <w:szCs w:val="24"/>
        </w:rPr>
        <w:t>nanoparticle</w:t>
      </w:r>
      <w:r w:rsidR="003C69A4">
        <w:rPr>
          <w:rFonts w:ascii="Times New Roman" w:hAnsi="Times New Roman" w:cs="Times New Roman"/>
          <w:sz w:val="24"/>
          <w:szCs w:val="24"/>
        </w:rPr>
        <w:t>s</w:t>
      </w:r>
      <w:r w:rsidR="003C69A4" w:rsidRPr="003C69A4">
        <w:rPr>
          <w:rFonts w:ascii="Times New Roman" w:hAnsi="Times New Roman" w:cs="Times New Roman"/>
          <w:sz w:val="24"/>
          <w:szCs w:val="24"/>
        </w:rPr>
        <w:t xml:space="preserve"> </w:t>
      </w:r>
      <w:r w:rsidRPr="00F35D4C">
        <w:rPr>
          <w:rFonts w:ascii="Times New Roman" w:hAnsi="Times New Roman" w:cs="Times New Roman"/>
          <w:sz w:val="24"/>
          <w:szCs w:val="24"/>
        </w:rPr>
        <w:t xml:space="preserve">with PAG was carried out by the carboxyl-amine reaction. </w:t>
      </w:r>
      <w:r w:rsidR="000B3423" w:rsidRPr="00F35D4C">
        <w:rPr>
          <w:rFonts w:ascii="Times New Roman" w:hAnsi="Times New Roman" w:cs="Times New Roman"/>
          <w:sz w:val="24"/>
          <w:szCs w:val="24"/>
        </w:rPr>
        <w:t>Briefly</w:t>
      </w:r>
      <w:r w:rsidRPr="00F35D4C">
        <w:rPr>
          <w:rFonts w:ascii="Times New Roman" w:hAnsi="Times New Roman" w:cs="Times New Roman"/>
          <w:sz w:val="24"/>
          <w:szCs w:val="24"/>
        </w:rPr>
        <w:t xml:space="preserve">, about 50 mg </w:t>
      </w:r>
      <w:r w:rsidR="0062789B" w:rsidRPr="00F35D4C">
        <w:rPr>
          <w:rFonts w:ascii="Times New Roman" w:hAnsi="Times New Roman" w:cs="Times New Roman"/>
          <w:sz w:val="24"/>
          <w:szCs w:val="24"/>
        </w:rPr>
        <w:t xml:space="preserve">of </w:t>
      </w:r>
      <w:r w:rsidRPr="00F35D4C">
        <w:rPr>
          <w:rFonts w:ascii="Times New Roman" w:hAnsi="Times New Roman" w:cs="Times New Roman"/>
          <w:sz w:val="24"/>
          <w:szCs w:val="24"/>
        </w:rPr>
        <w:t xml:space="preserve">lyophilized powder of </w:t>
      </w:r>
      <w:proofErr w:type="spellStart"/>
      <w:r w:rsidR="00257B20"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="00257B20"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Pr="00F35D4C">
        <w:rPr>
          <w:rFonts w:ascii="Times New Roman" w:hAnsi="Times New Roman" w:cs="Times New Roman"/>
          <w:sz w:val="24"/>
          <w:szCs w:val="24"/>
        </w:rPr>
        <w:t>was dispersed in 10 ml of double distilled water</w:t>
      </w:r>
      <w:r w:rsidR="000B3423" w:rsidRPr="00F35D4C">
        <w:rPr>
          <w:rFonts w:ascii="Times New Roman" w:hAnsi="Times New Roman" w:cs="Times New Roman"/>
          <w:sz w:val="24"/>
          <w:szCs w:val="24"/>
        </w:rPr>
        <w:t>,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about </w:t>
      </w:r>
      <w:r w:rsidRPr="00F35D4C">
        <w:rPr>
          <w:rFonts w:ascii="Times New Roman" w:hAnsi="Times New Roman" w:cs="Times New Roman"/>
          <w:sz w:val="24"/>
          <w:szCs w:val="24"/>
        </w:rPr>
        <w:t xml:space="preserve">10 mg PAG was added </w:t>
      </w:r>
      <w:r w:rsidR="003C69A4">
        <w:rPr>
          <w:rFonts w:ascii="Times New Roman" w:hAnsi="Times New Roman" w:cs="Times New Roman"/>
          <w:sz w:val="24"/>
          <w:szCs w:val="24"/>
        </w:rPr>
        <w:t>to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 it </w:t>
      </w:r>
      <w:r w:rsidRPr="00F35D4C">
        <w:rPr>
          <w:rFonts w:ascii="Times New Roman" w:hAnsi="Times New Roman" w:cs="Times New Roman"/>
          <w:sz w:val="24"/>
          <w:szCs w:val="24"/>
        </w:rPr>
        <w:t>and allowed to pre-adsorb for 2 h at room temperature. A</w:t>
      </w:r>
      <w:r w:rsidR="00257B20" w:rsidRPr="00F35D4C">
        <w:rPr>
          <w:rFonts w:ascii="Times New Roman" w:hAnsi="Times New Roman" w:cs="Times New Roman"/>
          <w:sz w:val="24"/>
          <w:szCs w:val="24"/>
        </w:rPr>
        <w:t>ft</w:t>
      </w:r>
      <w:r w:rsidRPr="00F35D4C">
        <w:rPr>
          <w:rFonts w:ascii="Times New Roman" w:hAnsi="Times New Roman" w:cs="Times New Roman"/>
          <w:sz w:val="24"/>
          <w:szCs w:val="24"/>
        </w:rPr>
        <w:t>er the pre-</w:t>
      </w:r>
      <w:proofErr w:type="spellStart"/>
      <w:r w:rsidR="00257B20" w:rsidRPr="00F35D4C">
        <w:rPr>
          <w:rFonts w:ascii="Times New Roman" w:hAnsi="Times New Roman" w:cs="Times New Roman"/>
          <w:sz w:val="24"/>
          <w:szCs w:val="24"/>
        </w:rPr>
        <w:t>adsorbtion</w:t>
      </w:r>
      <w:proofErr w:type="spellEnd"/>
      <w:r w:rsidR="00257B20" w:rsidRPr="00F35D4C">
        <w:rPr>
          <w:rFonts w:ascii="Times New Roman" w:hAnsi="Times New Roman" w:cs="Times New Roman"/>
          <w:sz w:val="24"/>
          <w:szCs w:val="24"/>
        </w:rPr>
        <w:t>,</w:t>
      </w:r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about </w:t>
      </w:r>
      <w:r w:rsidRPr="00F35D4C">
        <w:rPr>
          <w:rFonts w:ascii="Times New Roman" w:hAnsi="Times New Roman" w:cs="Times New Roman"/>
          <w:sz w:val="24"/>
          <w:szCs w:val="24"/>
        </w:rPr>
        <w:t>0.5 mg of EDC–HCL, a coupling agent for the carboxyl-amine conjugation reaction, was added to the solution described above</w:t>
      </w:r>
      <w:r w:rsidR="00257B20" w:rsidRPr="00F35D4C">
        <w:rPr>
          <w:rFonts w:ascii="Times New Roman" w:hAnsi="Times New Roman" w:cs="Times New Roman"/>
          <w:sz w:val="24"/>
          <w:szCs w:val="24"/>
        </w:rPr>
        <w:t xml:space="preserve"> and </w:t>
      </w:r>
      <w:r w:rsidR="003C69A4">
        <w:rPr>
          <w:rFonts w:ascii="Times New Roman" w:hAnsi="Times New Roman" w:cs="Times New Roman"/>
          <w:sz w:val="24"/>
          <w:szCs w:val="24"/>
        </w:rPr>
        <w:t xml:space="preserve">the </w:t>
      </w:r>
      <w:r w:rsidR="00257B20" w:rsidRPr="00F35D4C">
        <w:rPr>
          <w:rFonts w:ascii="Times New Roman" w:hAnsi="Times New Roman" w:cs="Times New Roman"/>
          <w:sz w:val="24"/>
          <w:szCs w:val="24"/>
        </w:rPr>
        <w:t xml:space="preserve">reaction was carried out for </w:t>
      </w:r>
      <w:r w:rsidR="000B3423" w:rsidRPr="00F35D4C">
        <w:rPr>
          <w:rFonts w:ascii="Times New Roman" w:hAnsi="Times New Roman" w:cs="Times New Roman"/>
          <w:sz w:val="24"/>
          <w:szCs w:val="24"/>
        </w:rPr>
        <w:t xml:space="preserve">about </w:t>
      </w:r>
      <w:r w:rsidR="00257B20" w:rsidRPr="00F35D4C">
        <w:rPr>
          <w:rFonts w:ascii="Times New Roman" w:hAnsi="Times New Roman" w:cs="Times New Roman"/>
          <w:sz w:val="24"/>
          <w:szCs w:val="24"/>
        </w:rPr>
        <w:t xml:space="preserve">4 h </w:t>
      </w:r>
      <w:r w:rsidR="007215E7">
        <w:rPr>
          <w:rFonts w:ascii="Times New Roman" w:hAnsi="Times New Roman" w:cs="Times New Roman"/>
          <w:sz w:val="24"/>
          <w:szCs w:val="24"/>
        </w:rPr>
        <w:t xml:space="preserve">under </w:t>
      </w:r>
      <w:r w:rsidR="00257B20" w:rsidRPr="00F35D4C">
        <w:rPr>
          <w:rFonts w:ascii="Times New Roman" w:hAnsi="Times New Roman" w:cs="Times New Roman"/>
          <w:sz w:val="24"/>
          <w:szCs w:val="24"/>
        </w:rPr>
        <w:t xml:space="preserve">continuous stirring at 25°C. The resulting PAG conjugated nanoparticles aqueous solution was dialyzed for 12 h using a </w:t>
      </w:r>
      <w:proofErr w:type="spellStart"/>
      <w:r w:rsidR="00257B20" w:rsidRPr="00F35D4C">
        <w:rPr>
          <w:rFonts w:ascii="Times New Roman" w:hAnsi="Times New Roman" w:cs="Times New Roman"/>
          <w:sz w:val="24"/>
          <w:szCs w:val="24"/>
        </w:rPr>
        <w:t>Spectropore</w:t>
      </w:r>
      <w:proofErr w:type="spellEnd"/>
      <w:r w:rsidR="00257B20" w:rsidRPr="00F35D4C">
        <w:rPr>
          <w:rFonts w:ascii="Times New Roman" w:hAnsi="Times New Roman" w:cs="Times New Roman"/>
          <w:sz w:val="24"/>
          <w:szCs w:val="24"/>
        </w:rPr>
        <w:t xml:space="preserve"> membrane dialysis bag (</w:t>
      </w:r>
      <w:proofErr w:type="spellStart"/>
      <w:r w:rsidR="00257B20" w:rsidRPr="00F35D4C">
        <w:rPr>
          <w:rFonts w:ascii="Times New Roman" w:hAnsi="Times New Roman" w:cs="Times New Roman"/>
          <w:sz w:val="24"/>
          <w:szCs w:val="24"/>
        </w:rPr>
        <w:t>celluSep</w:t>
      </w:r>
      <w:proofErr w:type="spellEnd"/>
      <w:r w:rsidR="00257B20" w:rsidRPr="00F35D4C">
        <w:rPr>
          <w:rFonts w:ascii="Times New Roman" w:hAnsi="Times New Roman" w:cs="Times New Roman"/>
          <w:sz w:val="24"/>
          <w:szCs w:val="24"/>
        </w:rPr>
        <w:t xml:space="preserve">, 12 KD cut off) with continuous change of distilled water every 4 h. After this, the aqueous solution was lyophilized to obtain </w:t>
      </w:r>
      <w:r w:rsidR="007215E7">
        <w:rPr>
          <w:rFonts w:ascii="Times New Roman" w:hAnsi="Times New Roman" w:cs="Times New Roman"/>
          <w:sz w:val="24"/>
          <w:szCs w:val="24"/>
        </w:rPr>
        <w:t xml:space="preserve">a </w:t>
      </w:r>
      <w:r w:rsidR="00257B20" w:rsidRPr="00F35D4C">
        <w:rPr>
          <w:rFonts w:ascii="Times New Roman" w:hAnsi="Times New Roman" w:cs="Times New Roman"/>
          <w:sz w:val="24"/>
          <w:szCs w:val="24"/>
        </w:rPr>
        <w:t>dry powder of PAG-</w:t>
      </w:r>
      <w:proofErr w:type="spellStart"/>
      <w:r w:rsidR="00257B20"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="00257B20" w:rsidRPr="00F35D4C">
        <w:rPr>
          <w:rFonts w:ascii="Times New Roman" w:hAnsi="Times New Roman" w:cs="Times New Roman"/>
          <w:sz w:val="24"/>
          <w:szCs w:val="24"/>
        </w:rPr>
        <w:t>.</w:t>
      </w:r>
    </w:p>
    <w:p w:rsidR="00257B20" w:rsidRPr="00F35D4C" w:rsidRDefault="00257B20" w:rsidP="00F35D4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4C">
        <w:rPr>
          <w:rFonts w:ascii="Times New Roman" w:hAnsi="Times New Roman" w:cs="Times New Roman"/>
          <w:b/>
          <w:sz w:val="24"/>
          <w:szCs w:val="24"/>
        </w:rPr>
        <w:t>Drug loading</w:t>
      </w:r>
    </w:p>
    <w:p w:rsidR="00DC468D" w:rsidRPr="00F35D4C" w:rsidRDefault="00257B20" w:rsidP="009F113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4C">
        <w:rPr>
          <w:rFonts w:ascii="Times New Roman" w:hAnsi="Times New Roman" w:cs="Times New Roman"/>
          <w:sz w:val="24"/>
          <w:szCs w:val="24"/>
        </w:rPr>
        <w:t>Thymoquinone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(TQ) drug was physically entrapped inside the hydrophobic core of the PAG-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after the complete polymerization reaction. Briefly, about 50 mg of PAG-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lyophilized powder was dispersed in 10 ml of double distilled water. Then, TQ solution in chloroform (5 mg/ml) was gradually added </w:t>
      </w:r>
      <w:r w:rsidR="003C69A4">
        <w:rPr>
          <w:rFonts w:ascii="Times New Roman" w:hAnsi="Times New Roman" w:cs="Times New Roman"/>
          <w:sz w:val="24"/>
          <w:szCs w:val="24"/>
        </w:rPr>
        <w:t>to</w:t>
      </w:r>
      <w:r w:rsidRPr="00F35D4C">
        <w:rPr>
          <w:rFonts w:ascii="Times New Roman" w:hAnsi="Times New Roman" w:cs="Times New Roman"/>
          <w:sz w:val="24"/>
          <w:szCs w:val="24"/>
        </w:rPr>
        <w:t xml:space="preserve"> the dispersed mixture </w:t>
      </w:r>
      <w:r w:rsidR="007215E7">
        <w:rPr>
          <w:rFonts w:ascii="Times New Roman" w:hAnsi="Times New Roman" w:cs="Times New Roman"/>
          <w:sz w:val="24"/>
          <w:szCs w:val="24"/>
        </w:rPr>
        <w:t xml:space="preserve">under continuous stirring </w:t>
      </w:r>
      <w:r w:rsidRPr="00F35D4C">
        <w:rPr>
          <w:rFonts w:ascii="Times New Roman" w:hAnsi="Times New Roman" w:cs="Times New Roman"/>
          <w:sz w:val="24"/>
          <w:szCs w:val="24"/>
        </w:rPr>
        <w:t>at room temperature till no sett</w:t>
      </w:r>
      <w:r w:rsidR="003C69A4">
        <w:rPr>
          <w:rFonts w:ascii="Times New Roman" w:hAnsi="Times New Roman" w:cs="Times New Roman"/>
          <w:sz w:val="24"/>
          <w:szCs w:val="24"/>
        </w:rPr>
        <w:t xml:space="preserve">ling of drug </w:t>
      </w:r>
      <w:r w:rsidR="007215E7">
        <w:rPr>
          <w:rFonts w:ascii="Times New Roman" w:hAnsi="Times New Roman" w:cs="Times New Roman"/>
          <w:sz w:val="24"/>
          <w:szCs w:val="24"/>
        </w:rPr>
        <w:t>was observed</w:t>
      </w:r>
      <w:r w:rsidR="003C69A4">
        <w:rPr>
          <w:rFonts w:ascii="Times New Roman" w:hAnsi="Times New Roman" w:cs="Times New Roman"/>
          <w:sz w:val="24"/>
          <w:szCs w:val="24"/>
        </w:rPr>
        <w:t>. The drug-</w:t>
      </w:r>
      <w:r w:rsidRPr="00F35D4C">
        <w:rPr>
          <w:rFonts w:ascii="Times New Roman" w:hAnsi="Times New Roman" w:cs="Times New Roman"/>
          <w:sz w:val="24"/>
          <w:szCs w:val="24"/>
        </w:rPr>
        <w:t>loaded PAG-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3C69A4">
        <w:rPr>
          <w:rFonts w:ascii="Times New Roman" w:hAnsi="Times New Roman" w:cs="Times New Roman"/>
          <w:sz w:val="24"/>
          <w:szCs w:val="24"/>
        </w:rPr>
        <w:t xml:space="preserve">was </w:t>
      </w:r>
      <w:r w:rsidRPr="00F35D4C">
        <w:rPr>
          <w:rFonts w:ascii="Times New Roman" w:hAnsi="Times New Roman" w:cs="Times New Roman"/>
          <w:sz w:val="24"/>
          <w:szCs w:val="24"/>
        </w:rPr>
        <w:t>lyophilized to obtain dried powder product for further use.</w:t>
      </w:r>
    </w:p>
    <w:p w:rsidR="009F113C" w:rsidRDefault="009F113C" w:rsidP="009F113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13C" w:rsidRPr="00F35D4C" w:rsidRDefault="009F113C" w:rsidP="009F113C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CHARACTERIZATION</w:t>
      </w:r>
    </w:p>
    <w:p w:rsidR="00257B20" w:rsidRPr="00F35D4C" w:rsidRDefault="00257B20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 xml:space="preserve">Dynamic light scattering (DLS) analysis shows that </w:t>
      </w:r>
      <w:r w:rsidR="00826C9A" w:rsidRPr="00F35D4C">
        <w:rPr>
          <w:rFonts w:ascii="Times New Roman" w:hAnsi="Times New Roman" w:cs="Times New Roman"/>
          <w:sz w:val="24"/>
          <w:szCs w:val="24"/>
        </w:rPr>
        <w:t>TQ loaded PAG-</w:t>
      </w:r>
      <w:proofErr w:type="spellStart"/>
      <w:r w:rsidR="00826C9A"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="00826C9A"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Pr="00F35D4C">
        <w:rPr>
          <w:rFonts w:ascii="Times New Roman" w:hAnsi="Times New Roman" w:cs="Times New Roman"/>
          <w:sz w:val="24"/>
          <w:szCs w:val="24"/>
        </w:rPr>
        <w:t>nanoparticles</w:t>
      </w:r>
      <w:r w:rsidR="00826C9A" w:rsidRPr="00F35D4C">
        <w:rPr>
          <w:rFonts w:ascii="Times New Roman" w:hAnsi="Times New Roman" w:cs="Times New Roman"/>
          <w:sz w:val="24"/>
          <w:szCs w:val="24"/>
        </w:rPr>
        <w:t xml:space="preserve"> ha</w:t>
      </w:r>
      <w:r w:rsidR="003C69A4">
        <w:rPr>
          <w:rFonts w:ascii="Times New Roman" w:hAnsi="Times New Roman" w:cs="Times New Roman"/>
          <w:sz w:val="24"/>
          <w:szCs w:val="24"/>
        </w:rPr>
        <w:t>ve</w:t>
      </w:r>
      <w:r w:rsidR="00826C9A" w:rsidRPr="00F35D4C">
        <w:rPr>
          <w:rFonts w:ascii="Times New Roman" w:hAnsi="Times New Roman" w:cs="Times New Roman"/>
          <w:sz w:val="24"/>
          <w:szCs w:val="24"/>
        </w:rPr>
        <w:t xml:space="preserve"> </w:t>
      </w:r>
      <w:r w:rsidR="006B76A3" w:rsidRPr="00F35D4C">
        <w:rPr>
          <w:rFonts w:ascii="Times New Roman" w:hAnsi="Times New Roman" w:cs="Times New Roman"/>
          <w:sz w:val="24"/>
          <w:szCs w:val="24"/>
        </w:rPr>
        <w:t xml:space="preserve">an </w:t>
      </w:r>
      <w:r w:rsidRPr="00F35D4C">
        <w:rPr>
          <w:rFonts w:ascii="Times New Roman" w:hAnsi="Times New Roman" w:cs="Times New Roman"/>
          <w:sz w:val="24"/>
          <w:szCs w:val="24"/>
        </w:rPr>
        <w:t xml:space="preserve">average size </w:t>
      </w:r>
      <w:r w:rsidR="006B76A3" w:rsidRPr="00F35D4C">
        <w:rPr>
          <w:rFonts w:ascii="Times New Roman" w:hAnsi="Times New Roman" w:cs="Times New Roman"/>
          <w:sz w:val="24"/>
          <w:szCs w:val="24"/>
        </w:rPr>
        <w:t xml:space="preserve">of about </w:t>
      </w:r>
      <w:r w:rsidR="00826C9A" w:rsidRPr="00F35D4C">
        <w:rPr>
          <w:rFonts w:ascii="Times New Roman" w:hAnsi="Times New Roman" w:cs="Times New Roman"/>
          <w:sz w:val="24"/>
          <w:szCs w:val="24"/>
        </w:rPr>
        <w:t xml:space="preserve">108.5 nm. </w:t>
      </w:r>
    </w:p>
    <w:p w:rsidR="006B76A3" w:rsidRPr="00F35D4C" w:rsidRDefault="006B76A3" w:rsidP="009F113C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 xml:space="preserve">Transmission electron microscopy </w:t>
      </w:r>
      <w:r w:rsidR="00826C9A" w:rsidRPr="00F35D4C">
        <w:rPr>
          <w:rFonts w:ascii="Times New Roman" w:hAnsi="Times New Roman" w:cs="Times New Roman"/>
          <w:sz w:val="24"/>
          <w:szCs w:val="24"/>
        </w:rPr>
        <w:t>(</w:t>
      </w:r>
      <w:r w:rsidRPr="00F35D4C">
        <w:rPr>
          <w:rFonts w:ascii="Times New Roman" w:hAnsi="Times New Roman" w:cs="Times New Roman"/>
          <w:sz w:val="24"/>
          <w:szCs w:val="24"/>
        </w:rPr>
        <w:t>TEM</w:t>
      </w:r>
      <w:r w:rsidR="00826C9A" w:rsidRPr="00F35D4C">
        <w:rPr>
          <w:rFonts w:ascii="Times New Roman" w:hAnsi="Times New Roman" w:cs="Times New Roman"/>
          <w:sz w:val="24"/>
          <w:szCs w:val="24"/>
        </w:rPr>
        <w:t>) shows that TQ loaded PAG-</w:t>
      </w:r>
      <w:proofErr w:type="spellStart"/>
      <w:r w:rsidR="00826C9A" w:rsidRPr="00F35D4C">
        <w:rPr>
          <w:rFonts w:ascii="Times New Roman" w:hAnsi="Times New Roman" w:cs="Times New Roman"/>
          <w:sz w:val="24"/>
          <w:szCs w:val="24"/>
        </w:rPr>
        <w:t>pNIPAAM</w:t>
      </w:r>
      <w:proofErr w:type="spellEnd"/>
      <w:r w:rsidR="00826C9A" w:rsidRPr="00F35D4C">
        <w:rPr>
          <w:rFonts w:ascii="Times New Roman" w:hAnsi="Times New Roman" w:cs="Times New Roman"/>
          <w:sz w:val="24"/>
          <w:szCs w:val="24"/>
        </w:rPr>
        <w:t xml:space="preserve"> nanoparticles</w:t>
      </w:r>
      <w:r w:rsidR="003C69A4">
        <w:rPr>
          <w:rFonts w:ascii="Times New Roman" w:hAnsi="Times New Roman" w:cs="Times New Roman"/>
          <w:sz w:val="24"/>
          <w:szCs w:val="24"/>
        </w:rPr>
        <w:t xml:space="preserve"> have an</w:t>
      </w:r>
      <w:r w:rsidR="00826C9A" w:rsidRPr="00F35D4C">
        <w:rPr>
          <w:rFonts w:ascii="Times New Roman" w:hAnsi="Times New Roman" w:cs="Times New Roman"/>
          <w:sz w:val="24"/>
          <w:szCs w:val="24"/>
        </w:rPr>
        <w:t xml:space="preserve"> average size </w:t>
      </w:r>
      <w:r w:rsidRPr="00F35D4C">
        <w:rPr>
          <w:rFonts w:ascii="Times New Roman" w:hAnsi="Times New Roman" w:cs="Times New Roman"/>
          <w:sz w:val="24"/>
          <w:szCs w:val="24"/>
        </w:rPr>
        <w:t xml:space="preserve">of </w:t>
      </w:r>
      <w:r w:rsidR="00826C9A" w:rsidRPr="00F35D4C">
        <w:rPr>
          <w:rFonts w:ascii="Times New Roman" w:hAnsi="Times New Roman" w:cs="Times New Roman"/>
          <w:sz w:val="24"/>
          <w:szCs w:val="24"/>
        </w:rPr>
        <w:t xml:space="preserve">around </w:t>
      </w:r>
      <w:r w:rsidRPr="00F35D4C">
        <w:rPr>
          <w:rFonts w:ascii="Times New Roman" w:hAnsi="Times New Roman" w:cs="Times New Roman"/>
          <w:sz w:val="24"/>
          <w:szCs w:val="24"/>
        </w:rPr>
        <w:t>90</w:t>
      </w:r>
      <w:r w:rsidR="00826C9A" w:rsidRPr="00F35D4C">
        <w:rPr>
          <w:rFonts w:ascii="Times New Roman" w:hAnsi="Times New Roman" w:cs="Times New Roman"/>
          <w:sz w:val="24"/>
          <w:szCs w:val="24"/>
        </w:rPr>
        <w:t>.</w:t>
      </w:r>
      <w:r w:rsidRPr="00F35D4C">
        <w:rPr>
          <w:rFonts w:ascii="Times New Roman" w:hAnsi="Times New Roman" w:cs="Times New Roman"/>
          <w:sz w:val="24"/>
          <w:szCs w:val="24"/>
        </w:rPr>
        <w:t>0</w:t>
      </w:r>
      <w:r w:rsidR="00826C9A" w:rsidRPr="00F35D4C">
        <w:rPr>
          <w:rFonts w:ascii="Times New Roman" w:hAnsi="Times New Roman" w:cs="Times New Roman"/>
          <w:sz w:val="24"/>
          <w:szCs w:val="24"/>
        </w:rPr>
        <w:t xml:space="preserve"> nm</w:t>
      </w:r>
      <w:r w:rsidRPr="00F35D4C">
        <w:rPr>
          <w:rFonts w:ascii="Times New Roman" w:hAnsi="Times New Roman" w:cs="Times New Roman"/>
          <w:sz w:val="24"/>
          <w:szCs w:val="24"/>
        </w:rPr>
        <w:t xml:space="preserve"> with spherical morphology</w:t>
      </w:r>
      <w:r w:rsidR="00826C9A" w:rsidRPr="00F35D4C">
        <w:rPr>
          <w:rFonts w:ascii="Times New Roman" w:hAnsi="Times New Roman" w:cs="Times New Roman"/>
          <w:sz w:val="24"/>
          <w:szCs w:val="24"/>
        </w:rPr>
        <w:t>.</w:t>
      </w:r>
    </w:p>
    <w:p w:rsidR="009F113C" w:rsidRPr="00F35D4C" w:rsidRDefault="009F113C" w:rsidP="009F113C">
      <w:pPr>
        <w:spacing w:before="12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BIOLOGICAL ACTIVITY</w:t>
      </w:r>
    </w:p>
    <w:p w:rsidR="006B76A3" w:rsidRPr="00F35D4C" w:rsidRDefault="006B76A3" w:rsidP="00F35D4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4C">
        <w:rPr>
          <w:rFonts w:ascii="Times New Roman" w:hAnsi="Times New Roman" w:cs="Times New Roman"/>
          <w:b/>
          <w:sz w:val="24"/>
          <w:szCs w:val="24"/>
        </w:rPr>
        <w:t xml:space="preserve">Effect of treatment of TQ and NTQ on lipid </w:t>
      </w:r>
      <w:proofErr w:type="spellStart"/>
      <w:r w:rsidRPr="00F35D4C">
        <w:rPr>
          <w:rFonts w:ascii="Times New Roman" w:hAnsi="Times New Roman" w:cs="Times New Roman"/>
          <w:b/>
          <w:sz w:val="24"/>
          <w:szCs w:val="24"/>
        </w:rPr>
        <w:t>peroxidation</w:t>
      </w:r>
      <w:proofErr w:type="spellEnd"/>
    </w:p>
    <w:p w:rsidR="00826C9A" w:rsidRDefault="006B76A3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D4C">
        <w:rPr>
          <w:rFonts w:ascii="Times New Roman" w:hAnsi="Times New Roman" w:cs="Times New Roman"/>
          <w:sz w:val="24"/>
          <w:szCs w:val="24"/>
        </w:rPr>
        <w:t>Thiobarbituric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acid reactive substances (TBARS) are formed as a byproduct of lipid per-oxidation (</w:t>
      </w:r>
      <w:r w:rsidRPr="00F35D4C">
        <w:rPr>
          <w:rFonts w:ascii="Times New Roman" w:hAnsi="Times New Roman" w:cs="Times New Roman"/>
          <w:i/>
          <w:sz w:val="24"/>
          <w:szCs w:val="24"/>
        </w:rPr>
        <w:t>i.e.</w:t>
      </w:r>
      <w:r w:rsidRPr="00F35D4C">
        <w:rPr>
          <w:rFonts w:ascii="Times New Roman" w:hAnsi="Times New Roman" w:cs="Times New Roman"/>
          <w:sz w:val="24"/>
          <w:szCs w:val="24"/>
        </w:rPr>
        <w:t xml:space="preserve"> as degradation products of fats)</w:t>
      </w:r>
      <w:r w:rsidR="00F35D4C">
        <w:rPr>
          <w:rFonts w:ascii="Times New Roman" w:hAnsi="Times New Roman" w:cs="Times New Roman"/>
          <w:sz w:val="24"/>
          <w:szCs w:val="24"/>
        </w:rPr>
        <w:t>,</w:t>
      </w:r>
      <w:r w:rsidRPr="00F35D4C">
        <w:rPr>
          <w:rFonts w:ascii="Times New Roman" w:hAnsi="Times New Roman" w:cs="Times New Roman"/>
          <w:sz w:val="24"/>
          <w:szCs w:val="24"/>
        </w:rPr>
        <w:t xml:space="preserve"> and </w:t>
      </w:r>
      <w:r w:rsidR="00F35D4C">
        <w:rPr>
          <w:rFonts w:ascii="Times New Roman" w:hAnsi="Times New Roman" w:cs="Times New Roman"/>
          <w:sz w:val="24"/>
          <w:szCs w:val="24"/>
        </w:rPr>
        <w:t xml:space="preserve">accordingly, act as </w:t>
      </w:r>
      <w:r w:rsidRPr="00F35D4C">
        <w:rPr>
          <w:rFonts w:ascii="Times New Roman" w:hAnsi="Times New Roman" w:cs="Times New Roman"/>
          <w:sz w:val="24"/>
          <w:szCs w:val="24"/>
        </w:rPr>
        <w:t xml:space="preserve">an indirect indicator of lipid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peroxidation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of polyunsaturated fatty acid (PUFA) of membranes</w:t>
      </w:r>
      <w:r w:rsidR="00F35D4C">
        <w:rPr>
          <w:rFonts w:ascii="Times New Roman" w:hAnsi="Times New Roman" w:cs="Times New Roman"/>
          <w:sz w:val="24"/>
          <w:szCs w:val="24"/>
        </w:rPr>
        <w:t xml:space="preserve"> of tissues</w:t>
      </w:r>
      <w:r w:rsidRPr="00F35D4C">
        <w:rPr>
          <w:rFonts w:ascii="Times New Roman" w:hAnsi="Times New Roman" w:cs="Times New Roman"/>
          <w:sz w:val="24"/>
          <w:szCs w:val="24"/>
        </w:rPr>
        <w:t xml:space="preserve">. TBARS was measured to demonstrate the oxidative damage on lipid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peroxidation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in CCl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C69A4">
        <w:rPr>
          <w:rFonts w:ascii="Times New Roman" w:hAnsi="Times New Roman" w:cs="Times New Roman"/>
          <w:sz w:val="24"/>
          <w:szCs w:val="24"/>
        </w:rPr>
        <w:t>-</w:t>
      </w:r>
      <w:r w:rsidRPr="00F35D4C">
        <w:rPr>
          <w:rFonts w:ascii="Times New Roman" w:hAnsi="Times New Roman" w:cs="Times New Roman"/>
          <w:sz w:val="24"/>
          <w:szCs w:val="24"/>
        </w:rPr>
        <w:t xml:space="preserve">induced liver injury of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rats (See, Table 1).</w:t>
      </w:r>
    </w:p>
    <w:p w:rsidR="003C69A4" w:rsidRPr="003C69A4" w:rsidRDefault="003C69A4" w:rsidP="003C69A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4">
        <w:rPr>
          <w:rFonts w:ascii="Times New Roman" w:hAnsi="Times New Roman" w:cs="Times New Roman"/>
          <w:b/>
          <w:sz w:val="24"/>
          <w:szCs w:val="24"/>
        </w:rPr>
        <w:t xml:space="preserve">Table 1: Effect of TQ and NTQ on lipid </w:t>
      </w:r>
      <w:proofErr w:type="spellStart"/>
      <w:r w:rsidRPr="003C69A4">
        <w:rPr>
          <w:rFonts w:ascii="Times New Roman" w:hAnsi="Times New Roman" w:cs="Times New Roman"/>
          <w:b/>
          <w:sz w:val="24"/>
          <w:szCs w:val="24"/>
        </w:rPr>
        <w:t>peroxidation</w:t>
      </w:r>
      <w:proofErr w:type="spell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76A3" w:rsidRPr="00F35D4C" w:rsidTr="003C69A4">
        <w:tc>
          <w:tcPr>
            <w:tcW w:w="4788" w:type="dxa"/>
            <w:vAlign w:val="center"/>
          </w:tcPr>
          <w:p w:rsidR="006B76A3" w:rsidRPr="00F35D4C" w:rsidRDefault="006B76A3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Treatment Groups</w:t>
            </w:r>
          </w:p>
        </w:tc>
        <w:tc>
          <w:tcPr>
            <w:tcW w:w="4788" w:type="dxa"/>
            <w:vAlign w:val="center"/>
          </w:tcPr>
          <w:p w:rsidR="006B76A3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Lipid </w:t>
            </w:r>
            <w:proofErr w:type="spellStart"/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peroxidation</w:t>
            </w:r>
            <w:proofErr w:type="spellEnd"/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(µmole TBARS formed/hr/g tissue])</w:t>
            </w:r>
          </w:p>
        </w:tc>
      </w:tr>
      <w:tr w:rsidR="006B76A3" w:rsidRPr="00F35D4C" w:rsidTr="003C69A4">
        <w:tc>
          <w:tcPr>
            <w:tcW w:w="4788" w:type="dxa"/>
          </w:tcPr>
          <w:p w:rsidR="006B76A3" w:rsidRPr="00F35D4C" w:rsidRDefault="006B76A3" w:rsidP="00F35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Group 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CDF"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saline (</w:t>
            </w:r>
            <w:r w:rsidR="00F35D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ormal, 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vAlign w:val="center"/>
          </w:tcPr>
          <w:p w:rsidR="006B76A3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1.36 ± 0.0203</w:t>
            </w:r>
          </w:p>
        </w:tc>
      </w:tr>
      <w:tr w:rsidR="006B76A3" w:rsidRPr="00F35D4C" w:rsidTr="003C69A4">
        <w:tc>
          <w:tcPr>
            <w:tcW w:w="4788" w:type="dxa"/>
          </w:tcPr>
          <w:p w:rsidR="006B76A3" w:rsidRPr="00F35D4C" w:rsidRDefault="006B76A3" w:rsidP="00F35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Group II</w:t>
            </w:r>
            <w:r w:rsidR="00F37CDF"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alone </w:t>
            </w:r>
            <w:r w:rsidR="00F37CDF" w:rsidRPr="00F35D4C">
              <w:rPr>
                <w:rFonts w:ascii="Times New Roman" w:hAnsi="Times New Roman" w:cs="Times New Roman"/>
                <w:sz w:val="24"/>
                <w:szCs w:val="24"/>
              </w:rPr>
              <w:t>(1.20 ml/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kg, 1</w:t>
            </w:r>
            <w:r w:rsidR="00F37CDF" w:rsidRPr="00F35D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 with oil</w:t>
            </w:r>
            <w:r w:rsidR="00F37CDF"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, Disease, </w:t>
            </w:r>
            <w:r w:rsidR="00F37CDF"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37CDF"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</w:tc>
        <w:tc>
          <w:tcPr>
            <w:tcW w:w="4788" w:type="dxa"/>
            <w:vAlign w:val="center"/>
          </w:tcPr>
          <w:p w:rsidR="006B76A3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2.55 ± 0.018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##</w:t>
            </w:r>
          </w:p>
        </w:tc>
      </w:tr>
      <w:tr w:rsidR="006B76A3" w:rsidRPr="00F35D4C" w:rsidTr="003C69A4">
        <w:tc>
          <w:tcPr>
            <w:tcW w:w="4788" w:type="dxa"/>
          </w:tcPr>
          <w:p w:rsidR="006B76A3" w:rsidRPr="00F35D4C" w:rsidRDefault="00F37CDF" w:rsidP="00F35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Group III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NTQ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L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(0.125 µg/kg,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8" w:type="dxa"/>
            <w:vAlign w:val="center"/>
          </w:tcPr>
          <w:p w:rsidR="006B76A3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2.22 ± 0.045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F37CDF" w:rsidRPr="00F35D4C" w:rsidTr="003C69A4">
        <w:tc>
          <w:tcPr>
            <w:tcW w:w="4788" w:type="dxa"/>
          </w:tcPr>
          <w:p w:rsidR="00F37CDF" w:rsidRPr="00F35D4C" w:rsidRDefault="00F37CDF" w:rsidP="00F35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Group IV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NTQ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(1. 25 µg/kg,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8" w:type="dxa"/>
            <w:vAlign w:val="center"/>
          </w:tcPr>
          <w:p w:rsidR="00F37CDF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1.78 ± 0.013**</w:t>
            </w:r>
          </w:p>
        </w:tc>
      </w:tr>
      <w:tr w:rsidR="00F37CDF" w:rsidRPr="00F35D4C" w:rsidTr="003C69A4">
        <w:tc>
          <w:tcPr>
            <w:tcW w:w="4788" w:type="dxa"/>
          </w:tcPr>
          <w:p w:rsidR="00F37CDF" w:rsidRPr="00F35D4C" w:rsidRDefault="00F37CDF" w:rsidP="00993E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Group V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NTQ</w:t>
            </w:r>
            <w:r w:rsidR="00993E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H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(12.5 µg/kg,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8" w:type="dxa"/>
            <w:vAlign w:val="center"/>
          </w:tcPr>
          <w:p w:rsidR="00F37CDF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1.45 ± 0.011**</w:t>
            </w:r>
          </w:p>
        </w:tc>
      </w:tr>
      <w:tr w:rsidR="00F37CDF" w:rsidRPr="00F35D4C" w:rsidTr="003C69A4">
        <w:tc>
          <w:tcPr>
            <w:tcW w:w="4788" w:type="dxa"/>
          </w:tcPr>
          <w:p w:rsidR="00F37CDF" w:rsidRPr="00F35D4C" w:rsidRDefault="00F37CDF" w:rsidP="00F35D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Group VI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35D4C">
              <w:rPr>
                <w:rFonts w:ascii="Times New Roman" w:hAnsi="Times New Roman" w:cs="Times New Roman"/>
                <w:b/>
                <w:sz w:val="24"/>
                <w:szCs w:val="24"/>
              </w:rPr>
              <w:t>TQ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(12.5 mg/kg,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788" w:type="dxa"/>
            <w:vAlign w:val="center"/>
          </w:tcPr>
          <w:p w:rsidR="00F37CDF" w:rsidRPr="00F35D4C" w:rsidRDefault="00F37CDF" w:rsidP="003C69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1.51 ± 0.014**</w:t>
            </w:r>
          </w:p>
        </w:tc>
      </w:tr>
    </w:tbl>
    <w:p w:rsidR="006B76A3" w:rsidRPr="00F35D4C" w:rsidRDefault="00F37CDF" w:rsidP="00F35D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Cs w:val="24"/>
        </w:rPr>
        <w:t xml:space="preserve">Results represent mean ± SEM of six animals per group. Results obtained are significantly different from control group (**P &lt; 0.01). Results obtained are significantly different from TQ and NTQ treated group (#P &lt; 0.05, ##P &lt; 0.01 and NS P &gt; 0.05). TQ = </w:t>
      </w:r>
      <w:proofErr w:type="spellStart"/>
      <w:r w:rsidRPr="00F35D4C">
        <w:rPr>
          <w:rFonts w:ascii="Times New Roman" w:hAnsi="Times New Roman" w:cs="Times New Roman"/>
          <w:szCs w:val="24"/>
        </w:rPr>
        <w:t>thymoquinone</w:t>
      </w:r>
      <w:proofErr w:type="spellEnd"/>
      <w:r w:rsidRPr="00F35D4C">
        <w:rPr>
          <w:rFonts w:ascii="Times New Roman" w:hAnsi="Times New Roman" w:cs="Times New Roman"/>
          <w:szCs w:val="24"/>
        </w:rPr>
        <w:t>; NTQ</w:t>
      </w:r>
      <w:r w:rsidRPr="00F35D4C">
        <w:rPr>
          <w:rFonts w:ascii="Times New Roman" w:hAnsi="Times New Roman" w:cs="Times New Roman"/>
          <w:szCs w:val="24"/>
          <w:vertAlign w:val="subscript"/>
        </w:rPr>
        <w:t>L</w:t>
      </w:r>
      <w:r w:rsidRPr="00F35D4C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F35D4C">
        <w:rPr>
          <w:rFonts w:ascii="Times New Roman" w:hAnsi="Times New Roman" w:cs="Times New Roman"/>
          <w:szCs w:val="24"/>
        </w:rPr>
        <w:t>nanothymoquinone</w:t>
      </w:r>
      <w:proofErr w:type="spellEnd"/>
      <w:r w:rsidRPr="00F35D4C">
        <w:rPr>
          <w:rFonts w:ascii="Times New Roman" w:hAnsi="Times New Roman" w:cs="Times New Roman"/>
          <w:szCs w:val="24"/>
        </w:rPr>
        <w:t>, low dose; NTQ</w:t>
      </w:r>
      <w:r w:rsidRPr="00F35D4C">
        <w:rPr>
          <w:rFonts w:ascii="Times New Roman" w:hAnsi="Times New Roman" w:cs="Times New Roman"/>
          <w:szCs w:val="24"/>
          <w:vertAlign w:val="subscript"/>
        </w:rPr>
        <w:t>M</w:t>
      </w:r>
      <w:r w:rsidRPr="00F35D4C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F35D4C">
        <w:rPr>
          <w:rFonts w:ascii="Times New Roman" w:hAnsi="Times New Roman" w:cs="Times New Roman"/>
          <w:szCs w:val="24"/>
        </w:rPr>
        <w:t>nanothymoquinone</w:t>
      </w:r>
      <w:proofErr w:type="spellEnd"/>
      <w:r w:rsidRPr="00F35D4C">
        <w:rPr>
          <w:rFonts w:ascii="Times New Roman" w:hAnsi="Times New Roman" w:cs="Times New Roman"/>
          <w:szCs w:val="24"/>
        </w:rPr>
        <w:t>, medium dose; NTQ</w:t>
      </w:r>
      <w:r w:rsidRPr="00F35D4C">
        <w:rPr>
          <w:rFonts w:ascii="Times New Roman" w:hAnsi="Times New Roman" w:cs="Times New Roman"/>
          <w:szCs w:val="24"/>
          <w:vertAlign w:val="subscript"/>
        </w:rPr>
        <w:t>H</w:t>
      </w:r>
      <w:r w:rsidRPr="00F35D4C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F35D4C">
        <w:rPr>
          <w:rFonts w:ascii="Times New Roman" w:hAnsi="Times New Roman" w:cs="Times New Roman"/>
          <w:szCs w:val="24"/>
        </w:rPr>
        <w:t>nanothymoquinone</w:t>
      </w:r>
      <w:proofErr w:type="spellEnd"/>
      <w:r w:rsidRPr="00F35D4C">
        <w:rPr>
          <w:rFonts w:ascii="Times New Roman" w:hAnsi="Times New Roman" w:cs="Times New Roman"/>
          <w:szCs w:val="24"/>
        </w:rPr>
        <w:t>, high dose</w:t>
      </w:r>
    </w:p>
    <w:p w:rsidR="00F37CDF" w:rsidRPr="00F35D4C" w:rsidRDefault="00F37CDF" w:rsidP="00F35D4C">
      <w:pPr>
        <w:spacing w:before="36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4C">
        <w:rPr>
          <w:rFonts w:ascii="Times New Roman" w:hAnsi="Times New Roman" w:cs="Times New Roman"/>
          <w:b/>
          <w:sz w:val="24"/>
          <w:szCs w:val="24"/>
        </w:rPr>
        <w:t>Effect of TQ and NTQ on</w:t>
      </w:r>
      <w:r w:rsidR="002D39F5" w:rsidRPr="00F3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E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215E7" w:rsidRPr="00F35D4C">
        <w:rPr>
          <w:rFonts w:ascii="Times New Roman" w:hAnsi="Times New Roman" w:cs="Times New Roman"/>
          <w:b/>
          <w:sz w:val="24"/>
          <w:szCs w:val="24"/>
        </w:rPr>
        <w:t>activity</w:t>
      </w:r>
      <w:r w:rsidR="007215E7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F35D4C">
        <w:rPr>
          <w:rFonts w:ascii="Times New Roman" w:hAnsi="Times New Roman" w:cs="Times New Roman"/>
          <w:b/>
          <w:sz w:val="24"/>
          <w:szCs w:val="24"/>
        </w:rPr>
        <w:t>a</w:t>
      </w:r>
      <w:r w:rsidR="002D39F5" w:rsidRPr="00F35D4C">
        <w:rPr>
          <w:rFonts w:ascii="Times New Roman" w:hAnsi="Times New Roman" w:cs="Times New Roman"/>
          <w:b/>
          <w:sz w:val="24"/>
          <w:szCs w:val="24"/>
        </w:rPr>
        <w:t>ntioxidant enzymes like</w:t>
      </w:r>
      <w:r w:rsidRPr="00F35D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D4C">
        <w:rPr>
          <w:rFonts w:ascii="Times New Roman" w:hAnsi="Times New Roman" w:cs="Times New Roman"/>
          <w:b/>
          <w:sz w:val="24"/>
          <w:szCs w:val="24"/>
        </w:rPr>
        <w:t>GPx</w:t>
      </w:r>
      <w:proofErr w:type="spellEnd"/>
      <w:r w:rsidRPr="00F35D4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35D4C">
        <w:rPr>
          <w:rFonts w:ascii="Times New Roman" w:hAnsi="Times New Roman" w:cs="Times New Roman"/>
          <w:b/>
          <w:sz w:val="24"/>
          <w:szCs w:val="24"/>
        </w:rPr>
        <w:t>Catalase</w:t>
      </w:r>
      <w:proofErr w:type="spellEnd"/>
      <w:r w:rsidR="002D39F5" w:rsidRPr="00F35D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CDF" w:rsidRDefault="002D39F5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4C">
        <w:rPr>
          <w:rFonts w:ascii="Times New Roman" w:hAnsi="Times New Roman" w:cs="Times New Roman"/>
          <w:sz w:val="24"/>
          <w:szCs w:val="24"/>
        </w:rPr>
        <w:t xml:space="preserve">Glutathione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(GP</w:t>
      </w:r>
      <w:r w:rsidRPr="00F35D4C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F35D4C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FF4A98">
        <w:rPr>
          <w:rFonts w:ascii="Times New Roman" w:hAnsi="Times New Roman" w:cs="Times New Roman"/>
          <w:sz w:val="24"/>
          <w:szCs w:val="24"/>
        </w:rPr>
        <w:t>C</w:t>
      </w:r>
      <w:r w:rsidRPr="00F35D4C">
        <w:rPr>
          <w:rFonts w:ascii="Times New Roman" w:hAnsi="Times New Roman" w:cs="Times New Roman"/>
          <w:sz w:val="24"/>
          <w:szCs w:val="24"/>
        </w:rPr>
        <w:t>atalase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are one of the most important enzymes </w:t>
      </w:r>
      <w:r w:rsidR="003C69A4">
        <w:rPr>
          <w:rFonts w:ascii="Times New Roman" w:hAnsi="Times New Roman" w:cs="Times New Roman"/>
          <w:sz w:val="24"/>
          <w:szCs w:val="24"/>
        </w:rPr>
        <w:t xml:space="preserve">in </w:t>
      </w:r>
      <w:r w:rsidRPr="00F35D4C">
        <w:rPr>
          <w:rFonts w:ascii="Times New Roman" w:hAnsi="Times New Roman" w:cs="Times New Roman"/>
          <w:sz w:val="24"/>
          <w:szCs w:val="24"/>
        </w:rPr>
        <w:t xml:space="preserve">the cell antioxidant defense system. These enzymes collectively act against the free radicals to resist their </w:t>
      </w:r>
      <w:r w:rsidRPr="00F35D4C">
        <w:rPr>
          <w:rFonts w:ascii="Times New Roman" w:hAnsi="Times New Roman" w:cs="Times New Roman"/>
          <w:sz w:val="24"/>
          <w:szCs w:val="24"/>
        </w:rPr>
        <w:lastRenderedPageBreak/>
        <w:t xml:space="preserve">damaging effects </w:t>
      </w:r>
      <w:r w:rsidR="003C69A4">
        <w:rPr>
          <w:rFonts w:ascii="Times New Roman" w:hAnsi="Times New Roman" w:cs="Times New Roman"/>
          <w:sz w:val="24"/>
          <w:szCs w:val="24"/>
        </w:rPr>
        <w:t>on</w:t>
      </w:r>
      <w:r w:rsidRPr="00F35D4C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biomolecules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and ultimately body tissues. </w:t>
      </w:r>
      <w:r w:rsidR="003C69A4">
        <w:rPr>
          <w:rFonts w:ascii="Times New Roman" w:hAnsi="Times New Roman" w:cs="Times New Roman"/>
          <w:sz w:val="24"/>
          <w:szCs w:val="24"/>
        </w:rPr>
        <w:t>The e</w:t>
      </w:r>
      <w:r w:rsidRPr="00F35D4C">
        <w:rPr>
          <w:rFonts w:ascii="Times New Roman" w:hAnsi="Times New Roman" w:cs="Times New Roman"/>
          <w:sz w:val="24"/>
          <w:szCs w:val="24"/>
        </w:rPr>
        <w:t xml:space="preserve">ffect of treatment of TQ and NTQ on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GPx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5D4C">
        <w:rPr>
          <w:rFonts w:ascii="Times New Roman" w:hAnsi="Times New Roman" w:cs="Times New Roman"/>
          <w:sz w:val="24"/>
          <w:szCs w:val="24"/>
        </w:rPr>
        <w:t>Catalase</w:t>
      </w:r>
      <w:proofErr w:type="spellEnd"/>
      <w:r w:rsidRPr="00F35D4C">
        <w:rPr>
          <w:rFonts w:ascii="Times New Roman" w:hAnsi="Times New Roman" w:cs="Times New Roman"/>
          <w:sz w:val="24"/>
          <w:szCs w:val="24"/>
        </w:rPr>
        <w:t xml:space="preserve"> activity is shown </w:t>
      </w:r>
      <w:r w:rsidR="003C69A4" w:rsidRPr="00F35D4C">
        <w:rPr>
          <w:rFonts w:ascii="Times New Roman" w:hAnsi="Times New Roman" w:cs="Times New Roman"/>
          <w:sz w:val="24"/>
          <w:szCs w:val="24"/>
        </w:rPr>
        <w:t xml:space="preserve">herein-below </w:t>
      </w:r>
      <w:r w:rsidRPr="00F35D4C">
        <w:rPr>
          <w:rFonts w:ascii="Times New Roman" w:hAnsi="Times New Roman" w:cs="Times New Roman"/>
          <w:sz w:val="24"/>
          <w:szCs w:val="24"/>
        </w:rPr>
        <w:t xml:space="preserve">in </w:t>
      </w:r>
      <w:r w:rsidR="00F37CDF" w:rsidRPr="00F35D4C">
        <w:rPr>
          <w:rFonts w:ascii="Times New Roman" w:hAnsi="Times New Roman" w:cs="Times New Roman"/>
          <w:sz w:val="24"/>
          <w:szCs w:val="24"/>
        </w:rPr>
        <w:t xml:space="preserve">Table </w:t>
      </w:r>
      <w:r w:rsidRPr="00F35D4C">
        <w:rPr>
          <w:rFonts w:ascii="Times New Roman" w:hAnsi="Times New Roman" w:cs="Times New Roman"/>
          <w:sz w:val="24"/>
          <w:szCs w:val="24"/>
        </w:rPr>
        <w:t>2</w:t>
      </w:r>
      <w:r w:rsidR="00F37CDF" w:rsidRPr="00F35D4C">
        <w:rPr>
          <w:rFonts w:ascii="Times New Roman" w:hAnsi="Times New Roman" w:cs="Times New Roman"/>
          <w:sz w:val="24"/>
          <w:szCs w:val="24"/>
        </w:rPr>
        <w:t>.</w:t>
      </w:r>
    </w:p>
    <w:p w:rsidR="00F35D4C" w:rsidRPr="003C69A4" w:rsidRDefault="00F35D4C" w:rsidP="00F35D4C">
      <w:pPr>
        <w:spacing w:before="36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4">
        <w:rPr>
          <w:rFonts w:ascii="Times New Roman" w:hAnsi="Times New Roman" w:cs="Times New Roman"/>
          <w:b/>
          <w:sz w:val="24"/>
          <w:szCs w:val="24"/>
        </w:rPr>
        <w:t xml:space="preserve">Table 2: Effect of TQ and NTQ on </w:t>
      </w:r>
      <w:proofErr w:type="spellStart"/>
      <w:r w:rsidRPr="003C69A4">
        <w:rPr>
          <w:rFonts w:ascii="Times New Roman" w:hAnsi="Times New Roman" w:cs="Times New Roman"/>
          <w:b/>
          <w:sz w:val="24"/>
          <w:szCs w:val="24"/>
        </w:rPr>
        <w:t>GPx</w:t>
      </w:r>
      <w:proofErr w:type="spellEnd"/>
      <w:r w:rsidRPr="003C69A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C69A4">
        <w:rPr>
          <w:rFonts w:ascii="Times New Roman" w:hAnsi="Times New Roman" w:cs="Times New Roman"/>
          <w:b/>
          <w:sz w:val="24"/>
          <w:szCs w:val="24"/>
        </w:rPr>
        <w:t>Catalase</w:t>
      </w:r>
      <w:proofErr w:type="spellEnd"/>
      <w:r w:rsidRPr="003C69A4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tbl>
      <w:tblPr>
        <w:tblStyle w:val="TableGrid"/>
        <w:tblW w:w="0" w:type="auto"/>
        <w:tblLook w:val="04A0"/>
      </w:tblPr>
      <w:tblGrid>
        <w:gridCol w:w="3297"/>
        <w:gridCol w:w="3391"/>
        <w:gridCol w:w="2888"/>
      </w:tblGrid>
      <w:tr w:rsidR="002D39F5" w:rsidRPr="00F35D4C" w:rsidTr="003C69A4">
        <w:tc>
          <w:tcPr>
            <w:tcW w:w="3297" w:type="dxa"/>
            <w:vAlign w:val="center"/>
          </w:tcPr>
          <w:p w:rsidR="002D39F5" w:rsidRPr="00E50655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Treatment Groups</w:t>
            </w:r>
          </w:p>
        </w:tc>
        <w:tc>
          <w:tcPr>
            <w:tcW w:w="3391" w:type="dxa"/>
            <w:vAlign w:val="center"/>
          </w:tcPr>
          <w:p w:rsidR="002D39F5" w:rsidRPr="00E50655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GPx</w:t>
            </w:r>
            <w:proofErr w:type="spellEnd"/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nmol</w:t>
            </w:r>
            <w:proofErr w:type="spellEnd"/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NADPH oxidized/min/ mg protein)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pgNum/>
            </w:r>
          </w:p>
        </w:tc>
        <w:tc>
          <w:tcPr>
            <w:tcW w:w="2888" w:type="dxa"/>
            <w:vAlign w:val="center"/>
          </w:tcPr>
          <w:p w:rsidR="002D39F5" w:rsidRPr="00E50655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Catalase</w:t>
            </w:r>
            <w:proofErr w:type="spellEnd"/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(µmol H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consumed/min/mg protein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pgNum/>
            </w:r>
          </w:p>
        </w:tc>
      </w:tr>
      <w:tr w:rsidR="002D39F5" w:rsidRPr="00F35D4C" w:rsidTr="003C69A4">
        <w:tc>
          <w:tcPr>
            <w:tcW w:w="3297" w:type="dxa"/>
          </w:tcPr>
          <w:p w:rsidR="002D39F5" w:rsidRPr="00F35D4C" w:rsidRDefault="002D39F5" w:rsidP="00E50655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Group 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saline (</w:t>
            </w:r>
            <w:r w:rsidR="00E5065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ormal, 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462.08 ± 3.92</w:t>
            </w:r>
          </w:p>
        </w:tc>
        <w:tc>
          <w:tcPr>
            <w:tcW w:w="2888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35.32 ± 1.86</w:t>
            </w:r>
          </w:p>
        </w:tc>
      </w:tr>
      <w:tr w:rsidR="002D39F5" w:rsidRPr="00F35D4C" w:rsidTr="003C69A4">
        <w:tc>
          <w:tcPr>
            <w:tcW w:w="3297" w:type="dxa"/>
          </w:tcPr>
          <w:p w:rsidR="002D39F5" w:rsidRPr="00F35D4C" w:rsidRDefault="002D39F5" w:rsidP="00E50655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Group II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alone (1.20 ml/kg, 1:1 with oil, Disease, 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391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109.47 ± 3.2##</w:t>
            </w:r>
          </w:p>
        </w:tc>
        <w:tc>
          <w:tcPr>
            <w:tcW w:w="2888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8.077 ± 0.43##</w:t>
            </w:r>
          </w:p>
        </w:tc>
      </w:tr>
      <w:tr w:rsidR="002D39F5" w:rsidRPr="00F35D4C" w:rsidTr="003C69A4">
        <w:tc>
          <w:tcPr>
            <w:tcW w:w="3297" w:type="dxa"/>
          </w:tcPr>
          <w:p w:rsidR="002D39F5" w:rsidRPr="00F35D4C" w:rsidRDefault="002D39F5" w:rsidP="00E50655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Group III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NTQ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L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(0.125 µg/kg,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1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156.83 ± 3.48**</w:t>
            </w:r>
          </w:p>
        </w:tc>
        <w:tc>
          <w:tcPr>
            <w:tcW w:w="2888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9.850 ± 0.00NS</w:t>
            </w:r>
          </w:p>
        </w:tc>
      </w:tr>
      <w:tr w:rsidR="002D39F5" w:rsidRPr="00F35D4C" w:rsidTr="003C69A4">
        <w:tc>
          <w:tcPr>
            <w:tcW w:w="3297" w:type="dxa"/>
          </w:tcPr>
          <w:p w:rsidR="002D39F5" w:rsidRPr="00F35D4C" w:rsidRDefault="002D39F5" w:rsidP="00E50655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Group IV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NTQ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M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(1. 25 µg/kg,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1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212.67 ± 2.3**</w:t>
            </w:r>
          </w:p>
        </w:tc>
        <w:tc>
          <w:tcPr>
            <w:tcW w:w="2888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14.07 ± 0.54**</w:t>
            </w:r>
          </w:p>
        </w:tc>
      </w:tr>
      <w:tr w:rsidR="002D39F5" w:rsidRPr="00F35D4C" w:rsidTr="003C69A4">
        <w:tc>
          <w:tcPr>
            <w:tcW w:w="3297" w:type="dxa"/>
          </w:tcPr>
          <w:p w:rsidR="002D39F5" w:rsidRPr="00F35D4C" w:rsidRDefault="002D39F5" w:rsidP="00993E80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Group V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NTQ</w:t>
            </w:r>
            <w:r w:rsidR="00993E8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H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(12.5 µg/kg,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1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390.08 ± 7.29**</w:t>
            </w:r>
          </w:p>
        </w:tc>
        <w:tc>
          <w:tcPr>
            <w:tcW w:w="2888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28.061 ± 1.47**</w:t>
            </w:r>
          </w:p>
        </w:tc>
      </w:tr>
      <w:tr w:rsidR="002D39F5" w:rsidRPr="00F35D4C" w:rsidTr="003C69A4">
        <w:tc>
          <w:tcPr>
            <w:tcW w:w="3297" w:type="dxa"/>
          </w:tcPr>
          <w:p w:rsidR="002D39F5" w:rsidRPr="00F35D4C" w:rsidRDefault="002D39F5" w:rsidP="008079E9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Group VI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– CCl</w:t>
            </w:r>
            <w:r w:rsidRPr="00F35D4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E50655">
              <w:rPr>
                <w:rFonts w:ascii="Times New Roman" w:hAnsi="Times New Roman" w:cs="Times New Roman"/>
                <w:b/>
                <w:sz w:val="24"/>
                <w:szCs w:val="24"/>
              </w:rPr>
              <w:t>TQ</w:t>
            </w: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 xml:space="preserve"> (12.5 mg/kg, </w:t>
            </w:r>
            <w:proofErr w:type="spellStart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i.p</w:t>
            </w:r>
            <w:proofErr w:type="spellEnd"/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91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348.26 ± 3.4**</w:t>
            </w:r>
          </w:p>
        </w:tc>
        <w:tc>
          <w:tcPr>
            <w:tcW w:w="2888" w:type="dxa"/>
            <w:vAlign w:val="center"/>
          </w:tcPr>
          <w:p w:rsidR="002D39F5" w:rsidRPr="00F35D4C" w:rsidRDefault="002D39F5" w:rsidP="003C69A4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4C">
              <w:rPr>
                <w:rFonts w:ascii="Times New Roman" w:hAnsi="Times New Roman" w:cs="Times New Roman"/>
                <w:sz w:val="24"/>
                <w:szCs w:val="24"/>
              </w:rPr>
              <w:t>22.87 ± 0.79**</w:t>
            </w:r>
          </w:p>
        </w:tc>
      </w:tr>
    </w:tbl>
    <w:p w:rsidR="00F37CDF" w:rsidRPr="00F35D4C" w:rsidRDefault="00F37CDF" w:rsidP="00E5065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50655">
        <w:rPr>
          <w:rFonts w:ascii="Times New Roman" w:hAnsi="Times New Roman" w:cs="Times New Roman"/>
          <w:szCs w:val="24"/>
        </w:rPr>
        <w:t xml:space="preserve">Results represent mean ± SEM of six animals per group. Results obtained are significantly different from control group (**P &lt; 0.01). Results obtained are significantly different from TQ and NTQ treated group (#P &lt; 0.05, ##P &lt; 0.01 and NS P &gt; 0.05). TQ = </w:t>
      </w:r>
      <w:proofErr w:type="spellStart"/>
      <w:r w:rsidRPr="00E50655">
        <w:rPr>
          <w:rFonts w:ascii="Times New Roman" w:hAnsi="Times New Roman" w:cs="Times New Roman"/>
          <w:szCs w:val="24"/>
        </w:rPr>
        <w:t>thymoquinone</w:t>
      </w:r>
      <w:proofErr w:type="spellEnd"/>
      <w:r w:rsidRPr="00E50655">
        <w:rPr>
          <w:rFonts w:ascii="Times New Roman" w:hAnsi="Times New Roman" w:cs="Times New Roman"/>
          <w:szCs w:val="24"/>
        </w:rPr>
        <w:t>; NTQ</w:t>
      </w:r>
      <w:r w:rsidRPr="00E50655">
        <w:rPr>
          <w:rFonts w:ascii="Times New Roman" w:hAnsi="Times New Roman" w:cs="Times New Roman"/>
          <w:szCs w:val="24"/>
          <w:vertAlign w:val="subscript"/>
        </w:rPr>
        <w:t>L</w:t>
      </w:r>
      <w:r w:rsidRPr="00E50655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E50655">
        <w:rPr>
          <w:rFonts w:ascii="Times New Roman" w:hAnsi="Times New Roman" w:cs="Times New Roman"/>
          <w:szCs w:val="24"/>
        </w:rPr>
        <w:t>nanothymoquinone</w:t>
      </w:r>
      <w:proofErr w:type="spellEnd"/>
      <w:r w:rsidRPr="00E50655">
        <w:rPr>
          <w:rFonts w:ascii="Times New Roman" w:hAnsi="Times New Roman" w:cs="Times New Roman"/>
          <w:szCs w:val="24"/>
        </w:rPr>
        <w:t>, low dose; NTQ</w:t>
      </w:r>
      <w:r w:rsidRPr="00E50655">
        <w:rPr>
          <w:rFonts w:ascii="Times New Roman" w:hAnsi="Times New Roman" w:cs="Times New Roman"/>
          <w:szCs w:val="24"/>
          <w:vertAlign w:val="subscript"/>
        </w:rPr>
        <w:t>M</w:t>
      </w:r>
      <w:r w:rsidRPr="00E50655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E50655">
        <w:rPr>
          <w:rFonts w:ascii="Times New Roman" w:hAnsi="Times New Roman" w:cs="Times New Roman"/>
          <w:szCs w:val="24"/>
        </w:rPr>
        <w:t>nanothymoquinone</w:t>
      </w:r>
      <w:proofErr w:type="spellEnd"/>
      <w:r w:rsidRPr="00E50655">
        <w:rPr>
          <w:rFonts w:ascii="Times New Roman" w:hAnsi="Times New Roman" w:cs="Times New Roman"/>
          <w:szCs w:val="24"/>
        </w:rPr>
        <w:t>, medium dose; NTQ</w:t>
      </w:r>
      <w:r w:rsidRPr="00E50655">
        <w:rPr>
          <w:rFonts w:ascii="Times New Roman" w:hAnsi="Times New Roman" w:cs="Times New Roman"/>
          <w:szCs w:val="24"/>
          <w:vertAlign w:val="subscript"/>
        </w:rPr>
        <w:t>H</w:t>
      </w:r>
      <w:r w:rsidRPr="00E50655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E50655">
        <w:rPr>
          <w:rFonts w:ascii="Times New Roman" w:hAnsi="Times New Roman" w:cs="Times New Roman"/>
          <w:szCs w:val="24"/>
        </w:rPr>
        <w:t>nanothymoquinone</w:t>
      </w:r>
      <w:proofErr w:type="spellEnd"/>
      <w:r w:rsidRPr="00E50655">
        <w:rPr>
          <w:rFonts w:ascii="Times New Roman" w:hAnsi="Times New Roman" w:cs="Times New Roman"/>
          <w:szCs w:val="24"/>
        </w:rPr>
        <w:t>, high dose</w:t>
      </w:r>
    </w:p>
    <w:p w:rsidR="00826C9A" w:rsidRPr="00F35D4C" w:rsidRDefault="00826C9A" w:rsidP="00F35D4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C9A" w:rsidRPr="00F35D4C" w:rsidSect="002B1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2E41"/>
    <w:rsid w:val="000B3423"/>
    <w:rsid w:val="00257B20"/>
    <w:rsid w:val="002B1E1B"/>
    <w:rsid w:val="002D39F5"/>
    <w:rsid w:val="002F4589"/>
    <w:rsid w:val="003C69A4"/>
    <w:rsid w:val="004169DD"/>
    <w:rsid w:val="0062789B"/>
    <w:rsid w:val="006B76A3"/>
    <w:rsid w:val="007215E7"/>
    <w:rsid w:val="00802AA9"/>
    <w:rsid w:val="008079E9"/>
    <w:rsid w:val="00826C9A"/>
    <w:rsid w:val="00872E41"/>
    <w:rsid w:val="008836C7"/>
    <w:rsid w:val="008907FD"/>
    <w:rsid w:val="00943F58"/>
    <w:rsid w:val="00993E80"/>
    <w:rsid w:val="009F113C"/>
    <w:rsid w:val="00C61ACC"/>
    <w:rsid w:val="00DC468D"/>
    <w:rsid w:val="00E50655"/>
    <w:rsid w:val="00F35D4C"/>
    <w:rsid w:val="00F37CDF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Shashikant Verma</dc:creator>
  <cp:lastModifiedBy>Shashikant Verma</cp:lastModifiedBy>
  <cp:revision>9</cp:revision>
  <dcterms:created xsi:type="dcterms:W3CDTF">2022-08-30T04:40:00Z</dcterms:created>
  <dcterms:modified xsi:type="dcterms:W3CDTF">2022-08-31T08:43:00Z</dcterms:modified>
</cp:coreProperties>
</file>